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7F8" w:rsidRDefault="001367F8" w:rsidP="001367F8">
      <w:pPr>
        <w:pStyle w:val="PreformattedText"/>
        <w:jc w:val="center"/>
        <w:rPr>
          <w:rFonts w:ascii="Times New Roman" w:hAnsi="Times New Roman" w:cs="Times New Roman"/>
          <w:b/>
          <w:bCs/>
          <w:sz w:val="32"/>
          <w:szCs w:val="32"/>
          <w:lang w:val="de-AT"/>
        </w:rPr>
      </w:pPr>
    </w:p>
    <w:p w:rsidR="001367F8" w:rsidRDefault="001367F8" w:rsidP="001367F8">
      <w:pPr>
        <w:pStyle w:val="PreformattedText"/>
        <w:jc w:val="center"/>
        <w:rPr>
          <w:rFonts w:ascii="Times New Roman" w:hAnsi="Times New Roman" w:cs="Times New Roman"/>
          <w:b/>
          <w:bCs/>
          <w:sz w:val="32"/>
          <w:szCs w:val="32"/>
          <w:lang w:val="ro-RO"/>
        </w:rPr>
      </w:pPr>
      <w:r w:rsidRPr="001367F8">
        <w:rPr>
          <w:rFonts w:ascii="Times New Roman" w:hAnsi="Times New Roman" w:cs="Times New Roman"/>
          <w:b/>
          <w:bCs/>
          <w:sz w:val="32"/>
          <w:szCs w:val="32"/>
          <w:lang w:val="de-AT"/>
        </w:rPr>
        <w:t xml:space="preserve">Gedanken über das Werk des Ordenspriesters </w:t>
      </w:r>
      <w:r w:rsidRPr="001367F8">
        <w:rPr>
          <w:rFonts w:ascii="Times New Roman" w:hAnsi="Times New Roman" w:cs="Times New Roman"/>
          <w:b/>
          <w:bCs/>
          <w:sz w:val="32"/>
          <w:szCs w:val="32"/>
          <w:lang w:val="ro-RO"/>
        </w:rPr>
        <w:t xml:space="preserve">Macarie </w:t>
      </w:r>
    </w:p>
    <w:p w:rsidR="00B05C27" w:rsidRPr="001367F8" w:rsidRDefault="00B05C27" w:rsidP="001367F8">
      <w:pPr>
        <w:pStyle w:val="PreformattedText"/>
        <w:jc w:val="center"/>
        <w:rPr>
          <w:rFonts w:ascii="Times New Roman" w:hAnsi="Times New Roman" w:cs="Times New Roman"/>
          <w:b/>
          <w:bCs/>
          <w:sz w:val="32"/>
          <w:szCs w:val="32"/>
          <w:lang w:val="ro-RO"/>
        </w:rPr>
      </w:pPr>
      <w:r w:rsidRPr="001367F8">
        <w:rPr>
          <w:lang w:val="de-DE"/>
        </w:rPr>
        <w:t xml:space="preserve"> </w:t>
      </w:r>
    </w:p>
    <w:p w:rsidR="009354EE" w:rsidRDefault="0093762D" w:rsidP="009354EE">
      <w:pPr>
        <w:pStyle w:val="Author"/>
      </w:pPr>
      <w:r>
        <w:t>Mihai Brie</w:t>
      </w:r>
      <w:r w:rsidR="009354EE">
        <w:rPr>
          <w:rStyle w:val="FootnoteCharacters"/>
          <w:rFonts w:ascii="Symbol" w:hAnsi="Symbol"/>
        </w:rPr>
        <w:footnoteReference w:customMarkFollows="1" w:id="2"/>
        <w:t></w:t>
      </w:r>
      <w:r w:rsidR="009354EE">
        <w:t xml:space="preserve"> </w:t>
      </w:r>
    </w:p>
    <w:p w:rsidR="009354EE" w:rsidRDefault="0093762D" w:rsidP="009354EE">
      <w:pPr>
        <w:pStyle w:val="Affiliation"/>
      </w:pPr>
      <w:r>
        <w:t>Universitatea din Oradea, Facultatea de Teologie Ortodoxă</w:t>
      </w:r>
      <w:r w:rsidR="009354EE">
        <w:t xml:space="preserve"> </w:t>
      </w:r>
    </w:p>
    <w:p w:rsidR="0093762D" w:rsidRDefault="0093762D" w:rsidP="001367F8">
      <w:pPr>
        <w:pStyle w:val="PreformattedText"/>
        <w:ind w:firstLine="567"/>
        <w:jc w:val="both"/>
        <w:rPr>
          <w:rStyle w:val="abstractheadChar"/>
          <w:rFonts w:ascii="Times New Roman" w:hAnsi="Times New Roman" w:cs="Times New Roman"/>
        </w:rPr>
      </w:pPr>
    </w:p>
    <w:p w:rsidR="001367F8" w:rsidRPr="001367F8" w:rsidRDefault="009354EE" w:rsidP="001367F8">
      <w:pPr>
        <w:pStyle w:val="PreformattedText"/>
        <w:ind w:firstLine="567"/>
        <w:jc w:val="both"/>
        <w:rPr>
          <w:rFonts w:ascii="Times New Roman" w:hAnsi="Times New Roman" w:cs="Times New Roman"/>
          <w:i/>
        </w:rPr>
      </w:pPr>
      <w:r w:rsidRPr="001367F8">
        <w:rPr>
          <w:rStyle w:val="abstractheadChar"/>
          <w:rFonts w:ascii="Times New Roman" w:hAnsi="Times New Roman" w:cs="Times New Roman"/>
        </w:rPr>
        <w:t>Abstract</w:t>
      </w:r>
      <w:r w:rsidRPr="001367F8">
        <w:rPr>
          <w:rStyle w:val="abstractheadChar"/>
          <w:rFonts w:ascii="Times New Roman" w:hAnsi="Times New Roman" w:cs="Times New Roman"/>
          <w:i/>
        </w:rPr>
        <w:t>.</w:t>
      </w:r>
      <w:r w:rsidRPr="001367F8">
        <w:rPr>
          <w:rFonts w:ascii="Times New Roman" w:hAnsi="Times New Roman" w:cs="Times New Roman"/>
          <w:i/>
        </w:rPr>
        <w:t xml:space="preserve"> </w:t>
      </w:r>
      <w:r w:rsidR="001367F8" w:rsidRPr="001367F8">
        <w:rPr>
          <w:rFonts w:ascii="Times New Roman" w:hAnsi="Times New Roman" w:cs="Times New Roman"/>
          <w:i/>
        </w:rPr>
        <w:t xml:space="preserve">The musical work of Macarie the Hyeromonk consists in over 150 original compositions. Macarie compiled pieces from Anastasimatar and Irmologhion. Some works of Macarie remained only in manuscris. The most important work of Macarie was Teoretikon, published in Wien, in 1823. This work was the first book of tehory, regarding psaltikal music, in Romania. Another important work of Macarie was Anastasimatar, published in Wien, in the same year as Teoretikon. The last work of Macarie publisher in Wien was Irmologhion, also in 1823. </w:t>
      </w:r>
    </w:p>
    <w:p w:rsidR="009354EE" w:rsidRPr="001367F8" w:rsidRDefault="009354EE" w:rsidP="009354EE">
      <w:pPr>
        <w:pStyle w:val="abstract"/>
        <w:rPr>
          <w:lang w:val="hu-HU"/>
        </w:rPr>
      </w:pPr>
    </w:p>
    <w:p w:rsidR="009354EE" w:rsidRPr="001367F8" w:rsidRDefault="009354EE" w:rsidP="009354EE">
      <w:pPr>
        <w:pStyle w:val="keywords"/>
        <w:spacing w:after="360"/>
        <w:rPr>
          <w:lang w:val="de-DE"/>
        </w:rPr>
      </w:pPr>
      <w:r w:rsidRPr="001367F8">
        <w:rPr>
          <w:rStyle w:val="keywordheadChar"/>
          <w:lang w:val="de-DE"/>
        </w:rPr>
        <w:t>Keywords:</w:t>
      </w:r>
      <w:r w:rsidRPr="001367F8">
        <w:rPr>
          <w:lang w:val="de-DE"/>
        </w:rPr>
        <w:t xml:space="preserve"> </w:t>
      </w:r>
      <w:r w:rsidR="001367F8" w:rsidRPr="001367F8">
        <w:rPr>
          <w:lang w:val="de-DE"/>
        </w:rPr>
        <w:t xml:space="preserve">rumänischen Psalmengesanges, </w:t>
      </w:r>
      <w:r w:rsidR="001367F8" w:rsidRPr="001367F8">
        <w:rPr>
          <w:bCs/>
          <w:lang w:val="de-AT"/>
        </w:rPr>
        <w:t xml:space="preserve">Ordenspriesters </w:t>
      </w:r>
      <w:r w:rsidR="001367F8" w:rsidRPr="001367F8">
        <w:rPr>
          <w:bCs/>
          <w:lang w:val="ro-RO"/>
        </w:rPr>
        <w:t>Macarie</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In der Geschichte des rumänischen Psalmengesanges gab es Leute</w:t>
      </w:r>
      <w:r w:rsidRPr="00DD02F2">
        <w:rPr>
          <w:rFonts w:ascii="Times New Roman" w:hAnsi="Times New Roman" w:cs="Times New Roman"/>
          <w:sz w:val="22"/>
          <w:szCs w:val="22"/>
          <w:lang w:val="de-DE"/>
        </w:rPr>
        <w:t>[1]</w:t>
      </w:r>
      <w:r w:rsidRPr="00DD02F2">
        <w:rPr>
          <w:rFonts w:ascii="Times New Roman" w:hAnsi="Times New Roman" w:cs="Times New Roman"/>
          <w:sz w:val="22"/>
          <w:szCs w:val="22"/>
        </w:rPr>
        <w:t xml:space="preserve">, die einen besonderen Schatz im Fachgebiet hinterlassen haben und damit einen unüberwindbaren Führer für den Progress dieser Kunst aufzeigten. Unserer Meinung nach war  Macarie einer von diesen Menschen. Er wurde von Gott mit einer ungewöhnlichen künstlerischen Empfindlichkeit und einem tiefen religiösen Gefühl gesegnet.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Sein bemerkenswertes Werk (gedruckt oder im Manuskript) umfasst ungefähr </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150 originale Gesänge und über 2.000 ins Rumänische übertragene Gesänge</w:t>
      </w:r>
      <w:r w:rsidRPr="00DD02F2">
        <w:rPr>
          <w:rFonts w:ascii="Times New Roman" w:hAnsi="Times New Roman" w:cs="Times New Roman"/>
          <w:sz w:val="22"/>
          <w:szCs w:val="22"/>
          <w:lang w:val="ro-RO"/>
        </w:rPr>
        <w:t>“.</w:t>
      </w:r>
      <w:r w:rsidRPr="00DD02F2">
        <w:rPr>
          <w:rFonts w:ascii="Times New Roman" w:hAnsi="Times New Roman" w:cs="Times New Roman"/>
          <w:sz w:val="22"/>
          <w:szCs w:val="22"/>
          <w:lang w:val="de-DE"/>
        </w:rPr>
        <w:t xml:space="preserve">[2] </w:t>
      </w:r>
      <w:r w:rsidRPr="00DD02F2">
        <w:rPr>
          <w:rFonts w:ascii="Times New Roman" w:hAnsi="Times New Roman" w:cs="Times New Roman"/>
          <w:sz w:val="22"/>
          <w:szCs w:val="22"/>
        </w:rPr>
        <w:t xml:space="preserve"> Es beschäftigt sich nur mit der Bewertung der Kompositionen der Komponisten von der neuen Welle. Als bedeutender Gelehrter seiner Zeit hat sich Macarie, aus dem Wunsch, dem Psalmengesang Impulse zu geben, für die Musik des  </w:t>
      </w:r>
      <w:r w:rsidRPr="00DD02F2">
        <w:rPr>
          <w:rFonts w:ascii="Times New Roman" w:hAnsi="Times New Roman" w:cs="Times New Roman"/>
          <w:i/>
          <w:iCs/>
          <w:sz w:val="22"/>
          <w:szCs w:val="22"/>
        </w:rPr>
        <w:t>neuen Verfahrens</w:t>
      </w:r>
      <w:r w:rsidRPr="00DD02F2">
        <w:rPr>
          <w:rFonts w:ascii="Times New Roman" w:hAnsi="Times New Roman" w:cs="Times New Roman"/>
          <w:i/>
          <w:iCs/>
          <w:color w:val="FF0000"/>
          <w:sz w:val="22"/>
          <w:szCs w:val="22"/>
        </w:rPr>
        <w:t xml:space="preserve"> </w:t>
      </w:r>
      <w:r w:rsidRPr="00DD02F2">
        <w:rPr>
          <w:rFonts w:ascii="Times New Roman" w:hAnsi="Times New Roman" w:cs="Times New Roman"/>
          <w:sz w:val="22"/>
          <w:szCs w:val="22"/>
        </w:rPr>
        <w:t xml:space="preserve">eingesetzt und sie unterstützt. Das erklärt auch, warum die Mehrheit der in verschiedenen Werken verwendeten Melodien den anerkannten Autoren der Reformationszeit gehören.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Auf den Spuren der Herkunft der vom Vorsänger ausgegebenen Gesänge werden wir mit einer ganzen Skala von Autoren aus Konstantinopel Bekanntschaft machen, mit Petru Lampadarie von den Peloponesischen Inseln an der Spitze, Name, zu dem die Mehrheit der Gesänge vom Anastisamatar und Irmologhion zu knüpfen sind. Im Folgenden werden wir  das wunderbare musikalische, in Manuskripten hinterlassene Werk aufführen, das eine Reihe von Gesängen umfasst</w:t>
      </w:r>
      <w:r w:rsidRPr="00DD02F2">
        <w:rPr>
          <w:rFonts w:ascii="Times New Roman" w:hAnsi="Times New Roman" w:cs="Times New Roman"/>
          <w:sz w:val="22"/>
          <w:szCs w:val="22"/>
          <w:lang w:val="de-DE"/>
        </w:rPr>
        <w:t>[3]</w:t>
      </w:r>
      <w:r w:rsidRPr="00DD02F2">
        <w:rPr>
          <w:rFonts w:ascii="Times New Roman" w:hAnsi="Times New Roman" w:cs="Times New Roman"/>
          <w:sz w:val="22"/>
          <w:szCs w:val="22"/>
        </w:rPr>
        <w:t xml:space="preserve">, so wie: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lang w:val="ro-RO"/>
        </w:rPr>
        <w:t>Die „Sammlung von Lobgesängen“</w:t>
      </w:r>
      <w:r w:rsidR="00F80300" w:rsidRPr="00DD02F2">
        <w:rPr>
          <w:rFonts w:ascii="Times New Roman" w:hAnsi="Times New Roman" w:cs="Times New Roman"/>
          <w:sz w:val="22"/>
          <w:szCs w:val="22"/>
          <w:lang w:val="de-DE"/>
        </w:rPr>
        <w:t xml:space="preserve">[4] </w:t>
      </w:r>
      <w:r w:rsidRPr="00DD02F2">
        <w:rPr>
          <w:rFonts w:ascii="Times New Roman" w:hAnsi="Times New Roman" w:cs="Times New Roman"/>
          <w:sz w:val="22"/>
          <w:szCs w:val="22"/>
        </w:rPr>
        <w:t xml:space="preserve"> ist von Manuil Hrisav dem alten Verfahren nach verfasst, von den Vorsängern Grigorie und Hurmuz Hartofilax</w:t>
      </w:r>
      <w:r w:rsidRPr="00DD02F2">
        <w:rPr>
          <w:rFonts w:ascii="Times New Roman" w:hAnsi="Times New Roman" w:cs="Times New Roman"/>
          <w:color w:val="FF0000"/>
          <w:sz w:val="22"/>
          <w:szCs w:val="22"/>
        </w:rPr>
        <w:t xml:space="preserve"> </w:t>
      </w:r>
      <w:r w:rsidRPr="00DD02F2">
        <w:rPr>
          <w:rFonts w:ascii="Times New Roman" w:hAnsi="Times New Roman" w:cs="Times New Roman"/>
          <w:sz w:val="22"/>
          <w:szCs w:val="22"/>
        </w:rPr>
        <w:t>(zwei von den drei Reformatoren aus Konstantinopel aus dem Jahre 1814) ins neue</w:t>
      </w:r>
      <w:r w:rsidRPr="00DD02F2">
        <w:rPr>
          <w:rFonts w:ascii="Times New Roman" w:hAnsi="Times New Roman" w:cs="Times New Roman"/>
          <w:i/>
          <w:iCs/>
          <w:sz w:val="22"/>
          <w:szCs w:val="22"/>
        </w:rPr>
        <w:t xml:space="preserve"> Verfahren</w:t>
      </w:r>
      <w:r w:rsidRPr="00DD02F2">
        <w:rPr>
          <w:rFonts w:ascii="Times New Roman" w:hAnsi="Times New Roman" w:cs="Times New Roman"/>
          <w:i/>
          <w:iCs/>
          <w:color w:val="FF0000"/>
          <w:sz w:val="22"/>
          <w:szCs w:val="22"/>
        </w:rPr>
        <w:t xml:space="preserve"> </w:t>
      </w:r>
      <w:r w:rsidRPr="00DD02F2">
        <w:rPr>
          <w:rFonts w:ascii="Times New Roman" w:hAnsi="Times New Roman" w:cs="Times New Roman"/>
          <w:iCs/>
          <w:sz w:val="22"/>
          <w:szCs w:val="22"/>
        </w:rPr>
        <w:t>versetzt</w:t>
      </w:r>
      <w:r w:rsidRPr="00DD02F2">
        <w:rPr>
          <w:rFonts w:ascii="Times New Roman" w:hAnsi="Times New Roman" w:cs="Times New Roman"/>
          <w:i/>
          <w:iCs/>
          <w:color w:val="FF0000"/>
          <w:sz w:val="22"/>
          <w:szCs w:val="22"/>
        </w:rPr>
        <w:t xml:space="preserve"> </w:t>
      </w:r>
      <w:r w:rsidRPr="00DD02F2">
        <w:rPr>
          <w:rFonts w:ascii="Times New Roman" w:hAnsi="Times New Roman" w:cs="Times New Roman"/>
          <w:sz w:val="22"/>
          <w:szCs w:val="22"/>
        </w:rPr>
        <w:t>und</w:t>
      </w:r>
      <w:r w:rsidRPr="00DD02F2">
        <w:rPr>
          <w:rFonts w:ascii="Times New Roman" w:hAnsi="Times New Roman" w:cs="Times New Roman"/>
          <w:color w:val="FF0000"/>
          <w:sz w:val="22"/>
          <w:szCs w:val="22"/>
        </w:rPr>
        <w:t xml:space="preserve"> </w:t>
      </w:r>
      <w:r w:rsidRPr="00DD02F2">
        <w:rPr>
          <w:rFonts w:ascii="Times New Roman" w:hAnsi="Times New Roman" w:cs="Times New Roman"/>
          <w:sz w:val="22"/>
          <w:szCs w:val="22"/>
          <w:lang w:val="ro-RO"/>
        </w:rPr>
        <w:t xml:space="preserve">„in unsere rumänische Sprache vom frommen </w:t>
      </w:r>
      <w:r w:rsidRPr="00DD02F2">
        <w:rPr>
          <w:rFonts w:ascii="Times New Roman" w:hAnsi="Times New Roman" w:cs="Times New Roman"/>
          <w:sz w:val="22"/>
          <w:szCs w:val="22"/>
        </w:rPr>
        <w:t>Ordenspriester Macarie, dem Lehrer der rumänischen Musikschulen</w:t>
      </w:r>
      <w:r w:rsidRPr="00DD02F2">
        <w:rPr>
          <w:rFonts w:ascii="Times New Roman" w:hAnsi="Times New Roman" w:cs="Times New Roman"/>
          <w:sz w:val="22"/>
          <w:szCs w:val="22"/>
          <w:lang w:val="ro-RO"/>
        </w:rPr>
        <w:t>“ übertragen.</w:t>
      </w:r>
      <w:r w:rsidRPr="00DD02F2">
        <w:rPr>
          <w:rFonts w:ascii="Times New Roman" w:hAnsi="Times New Roman" w:cs="Times New Roman"/>
          <w:sz w:val="22"/>
          <w:szCs w:val="22"/>
        </w:rPr>
        <w:t xml:space="preserve"> Weiterhin wurde das 1825 zum Befehl und auf Kosten von Macarie vom braven Ilie dem Sänger der Sankt Nikolaus </w:t>
      </w:r>
      <w:r w:rsidRPr="00DD02F2">
        <w:rPr>
          <w:rFonts w:ascii="Times New Roman" w:hAnsi="Times New Roman" w:cs="Times New Roman"/>
          <w:sz w:val="22"/>
          <w:szCs w:val="22"/>
          <w:lang w:val="ro-RO"/>
        </w:rPr>
        <w:t>Vlãdica</w:t>
      </w:r>
      <w:r w:rsidRPr="00DD02F2">
        <w:rPr>
          <w:rFonts w:ascii="Times New Roman" w:hAnsi="Times New Roman" w:cs="Times New Roman"/>
          <w:sz w:val="22"/>
          <w:szCs w:val="22"/>
        </w:rPr>
        <w:t xml:space="preserve"> Kirche aus der Hauptstadt der Walachei schöngeschrieben. </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Papadichia</w:t>
      </w:r>
      <w:r w:rsidR="00F80300" w:rsidRPr="00DD02F2">
        <w:rPr>
          <w:rFonts w:ascii="Times New Roman" w:hAnsi="Times New Roman" w:cs="Times New Roman"/>
          <w:sz w:val="22"/>
          <w:szCs w:val="22"/>
          <w:lang w:val="de-DE"/>
        </w:rPr>
        <w:t xml:space="preserve">[5] </w:t>
      </w:r>
      <w:r w:rsidRPr="00DD02F2">
        <w:rPr>
          <w:rFonts w:ascii="Times New Roman" w:hAnsi="Times New Roman" w:cs="Times New Roman"/>
          <w:sz w:val="22"/>
          <w:szCs w:val="22"/>
        </w:rPr>
        <w:t xml:space="preserve"> fasst Gesänge von der Frühmesse im </w:t>
      </w:r>
      <w:r w:rsidRPr="00DD02F2">
        <w:rPr>
          <w:rFonts w:ascii="Times New Roman" w:hAnsi="Times New Roman" w:cs="Times New Roman"/>
          <w:sz w:val="22"/>
          <w:szCs w:val="22"/>
          <w:lang w:val="ro-RO"/>
        </w:rPr>
        <w:t>„Zweiten Band der Antologie“zusammen.</w:t>
      </w:r>
      <w:r w:rsidRPr="00DD02F2">
        <w:rPr>
          <w:rFonts w:ascii="Times New Roman" w:hAnsi="Times New Roman" w:cs="Times New Roman"/>
          <w:sz w:val="22"/>
          <w:szCs w:val="22"/>
        </w:rPr>
        <w:t xml:space="preserve"> Sie wurde vom selben Schreiber kalligraphisch geschrieben und wurde in demselben Jahr ausgegeben.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lang w:val="ro-RO"/>
        </w:rPr>
        <w:t>„</w:t>
      </w:r>
      <w:r w:rsidRPr="00DD02F2">
        <w:rPr>
          <w:rFonts w:ascii="Times New Roman" w:hAnsi="Times New Roman" w:cs="Times New Roman"/>
          <w:sz w:val="22"/>
          <w:szCs w:val="22"/>
        </w:rPr>
        <w:t>Irmologhion Calofonicon</w:t>
      </w:r>
      <w:r w:rsidRPr="00DD02F2">
        <w:rPr>
          <w:rFonts w:ascii="Times New Roman" w:hAnsi="Times New Roman" w:cs="Times New Roman"/>
          <w:sz w:val="22"/>
          <w:szCs w:val="22"/>
          <w:lang w:val="ro-RO"/>
        </w:rPr>
        <w:t>“</w:t>
      </w:r>
      <w:r w:rsidR="00F80300" w:rsidRPr="00DD02F2">
        <w:rPr>
          <w:rFonts w:ascii="Times New Roman" w:hAnsi="Times New Roman" w:cs="Times New Roman"/>
          <w:sz w:val="22"/>
          <w:szCs w:val="22"/>
          <w:lang w:val="de-DE"/>
        </w:rPr>
        <w:t xml:space="preserve">[6] </w:t>
      </w:r>
      <w:r w:rsidRPr="00DD02F2">
        <w:rPr>
          <w:rFonts w:ascii="Times New Roman" w:hAnsi="Times New Roman" w:cs="Times New Roman"/>
          <w:sz w:val="22"/>
          <w:szCs w:val="22"/>
        </w:rPr>
        <w:t xml:space="preserve"> umfasst 125 Psalmengesänge, unter denen 120 </w:t>
      </w:r>
      <w:r w:rsidRPr="00DD02F2">
        <w:rPr>
          <w:rFonts w:ascii="Times New Roman" w:hAnsi="Times New Roman" w:cs="Times New Roman"/>
          <w:sz w:val="22"/>
          <w:szCs w:val="22"/>
          <w:lang w:val="ro-RO"/>
        </w:rPr>
        <w:t xml:space="preserve">„schöngeschriebene“ </w:t>
      </w:r>
      <w:r w:rsidRPr="00DD02F2">
        <w:rPr>
          <w:rFonts w:ascii="Times New Roman" w:hAnsi="Times New Roman" w:cs="Times New Roman"/>
          <w:sz w:val="22"/>
          <w:szCs w:val="22"/>
        </w:rPr>
        <w:t xml:space="preserve">Kirchenmelodien, die </w:t>
      </w:r>
      <w:r w:rsidRPr="00DD02F2">
        <w:rPr>
          <w:rFonts w:ascii="Times New Roman" w:hAnsi="Times New Roman" w:cs="Times New Roman"/>
          <w:sz w:val="22"/>
          <w:szCs w:val="22"/>
          <w:lang w:val="ro-RO"/>
        </w:rPr>
        <w:t>von Strichen</w:t>
      </w:r>
      <w:r w:rsidRPr="00DD02F2">
        <w:rPr>
          <w:rFonts w:ascii="Times New Roman" w:hAnsi="Times New Roman" w:cs="Times New Roman"/>
          <w:sz w:val="22"/>
          <w:szCs w:val="22"/>
        </w:rPr>
        <w:t xml:space="preserve"> sowie fünf Lobgesängen an die Herrscher Alexandru Ghica und Mihail Sturza, an den Abt Dositei und die Abtin Fevronia begleitet sind, während der Letzte ein Gebet an die Jungfrau Maria enthält. Dieses Manuskript wurde 1833 von Macarie selbst im Kloster verfasst. </w:t>
      </w:r>
    </w:p>
    <w:p w:rsidR="001367F8" w:rsidRPr="00DD02F2" w:rsidRDefault="001367F8" w:rsidP="001367F8">
      <w:pPr>
        <w:pStyle w:val="PreformattedText"/>
        <w:ind w:firstLine="567"/>
        <w:jc w:val="both"/>
        <w:rPr>
          <w:rFonts w:ascii="Times New Roman" w:hAnsi="Times New Roman" w:cs="Times New Roman"/>
          <w:sz w:val="22"/>
          <w:szCs w:val="22"/>
          <w:lang w:val="ro-RO"/>
        </w:rPr>
      </w:pPr>
      <w:r w:rsidRPr="00DD02F2">
        <w:rPr>
          <w:rFonts w:ascii="Times New Roman" w:hAnsi="Times New Roman" w:cs="Times New Roman"/>
          <w:sz w:val="22"/>
          <w:szCs w:val="22"/>
        </w:rPr>
        <w:t xml:space="preserve">Es gibt auch einen </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 xml:space="preserve">Calofonicon </w:t>
      </w:r>
      <w:r w:rsidRPr="00DD02F2">
        <w:rPr>
          <w:rFonts w:ascii="Times New Roman" w:hAnsi="Times New Roman" w:cs="Times New Roman"/>
          <w:sz w:val="22"/>
          <w:szCs w:val="22"/>
          <w:lang w:val="ro-RO"/>
        </w:rPr>
        <w:t>Irmologhion“</w:t>
      </w:r>
      <w:r w:rsidR="00F80300" w:rsidRPr="00DD02F2">
        <w:rPr>
          <w:rFonts w:ascii="Times New Roman" w:hAnsi="Times New Roman" w:cs="Times New Roman"/>
          <w:sz w:val="22"/>
          <w:szCs w:val="22"/>
          <w:lang w:val="de-DE"/>
        </w:rPr>
        <w:t xml:space="preserve">[7] </w:t>
      </w:r>
      <w:r w:rsidRPr="00DD02F2">
        <w:rPr>
          <w:rFonts w:ascii="Times New Roman" w:hAnsi="Times New Roman" w:cs="Times New Roman"/>
          <w:sz w:val="22"/>
          <w:szCs w:val="22"/>
          <w:lang w:val="ro-RO"/>
        </w:rPr>
        <w:t xml:space="preserve"> desselben </w:t>
      </w:r>
      <w:r w:rsidRPr="00DD02F2">
        <w:rPr>
          <w:rFonts w:ascii="Times New Roman" w:hAnsi="Times New Roman" w:cs="Times New Roman"/>
          <w:sz w:val="22"/>
          <w:szCs w:val="22"/>
        </w:rPr>
        <w:t>Ordenspriesters Macarie</w:t>
      </w:r>
      <w:r w:rsidRPr="00DD02F2">
        <w:rPr>
          <w:rFonts w:ascii="Times New Roman" w:hAnsi="Times New Roman" w:cs="Times New Roman"/>
          <w:sz w:val="22"/>
          <w:szCs w:val="22"/>
          <w:lang w:val="ro-RO"/>
        </w:rPr>
        <w:t>, eine Sammlung von Gesängen, die in Neamţ im Manuskript, auf Flugblättern mit Bemerkungen, Korrekturen, Ergänzungen  hinterblieben ist und vom Metropoliten der Moldau</w:t>
      </w:r>
      <w:r w:rsidRPr="00DD02F2">
        <w:rPr>
          <w:rFonts w:ascii="Times New Roman" w:hAnsi="Times New Roman" w:cs="Times New Roman"/>
          <w:sz w:val="22"/>
          <w:szCs w:val="22"/>
        </w:rPr>
        <w:t xml:space="preserve">, Iosif Naniescu, in einen Band zusammengeführt wurden.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lang w:val="ro-RO"/>
        </w:rPr>
        <w:lastRenderedPageBreak/>
        <w:t>„Pricesniarul“</w:t>
      </w:r>
      <w:r w:rsidR="00F80300" w:rsidRPr="00DD02F2">
        <w:rPr>
          <w:rFonts w:ascii="Times New Roman" w:hAnsi="Times New Roman" w:cs="Times New Roman"/>
          <w:sz w:val="22"/>
          <w:szCs w:val="22"/>
          <w:lang w:val="de-DE"/>
        </w:rPr>
        <w:t xml:space="preserve">[8] </w:t>
      </w:r>
      <w:r w:rsidRPr="00DD02F2">
        <w:rPr>
          <w:rFonts w:ascii="Times New Roman" w:hAnsi="Times New Roman" w:cs="Times New Roman"/>
          <w:sz w:val="22"/>
          <w:szCs w:val="22"/>
        </w:rPr>
        <w:t xml:space="preserve">ist eine Gruppierung von 90 Kommunionshymnen (sieben von ihnen im Original und 83 aus dem Griechischen übersetzt). Es ist ein Werk von Macarie, am Ende seiner Karriere verfasst, 1838, im Jahre seines Todes beendet.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lang w:val="ro-RO"/>
        </w:rPr>
        <w:t>„Die Gesänge der Heiligen Liturgie“</w:t>
      </w:r>
      <w:r w:rsidR="00F80300" w:rsidRPr="00DD02F2">
        <w:rPr>
          <w:rFonts w:ascii="Times New Roman" w:hAnsi="Times New Roman" w:cs="Times New Roman"/>
          <w:sz w:val="22"/>
          <w:szCs w:val="22"/>
          <w:lang w:val="de-DE"/>
        </w:rPr>
        <w:t xml:space="preserve">[9] </w:t>
      </w:r>
      <w:r w:rsidRPr="00DD02F2">
        <w:rPr>
          <w:rFonts w:ascii="Times New Roman" w:hAnsi="Times New Roman" w:cs="Times New Roman"/>
          <w:sz w:val="22"/>
          <w:szCs w:val="22"/>
        </w:rPr>
        <w:t xml:space="preserve">stellen einen Teil von den  </w:t>
      </w:r>
      <w:r w:rsidRPr="00DD02F2">
        <w:rPr>
          <w:rFonts w:ascii="Times New Roman" w:hAnsi="Times New Roman" w:cs="Times New Roman"/>
          <w:sz w:val="22"/>
          <w:szCs w:val="22"/>
          <w:lang w:val="ro-RO"/>
        </w:rPr>
        <w:t xml:space="preserve">„Bänden der </w:t>
      </w:r>
      <w:r w:rsidRPr="00DD02F2">
        <w:rPr>
          <w:rFonts w:ascii="Times New Roman" w:hAnsi="Times New Roman" w:cs="Times New Roman"/>
          <w:sz w:val="22"/>
          <w:szCs w:val="22"/>
        </w:rPr>
        <w:t>Antologie</w:t>
      </w:r>
      <w:r w:rsidRPr="00DD02F2">
        <w:rPr>
          <w:rFonts w:ascii="Times New Roman" w:hAnsi="Times New Roman" w:cs="Times New Roman"/>
          <w:sz w:val="22"/>
          <w:szCs w:val="22"/>
          <w:lang w:val="ro-RO"/>
        </w:rPr>
        <w:t>“ dar</w:t>
      </w:r>
      <w:r w:rsidRPr="00DD02F2">
        <w:rPr>
          <w:rFonts w:ascii="Times New Roman" w:hAnsi="Times New Roman" w:cs="Times New Roman"/>
          <w:sz w:val="22"/>
          <w:szCs w:val="22"/>
        </w:rPr>
        <w:t>, sie wurden vom Mönch  Ghimnasie im Kloster Cãldãruşani in Schönschrift gesetzt. Es ist ein 1838, posthumus erschienenes Manuskript, das Gesänge von anerkannten Kompositoren wie Petru Lampadarie, Gheorghe Criteanul, Petru Efesiu, Priester Balasie, dem Vorsänger Grigore in der Übersetzung des Ordenspriesters</w:t>
      </w:r>
      <w:r w:rsidRPr="00DD02F2">
        <w:rPr>
          <w:rFonts w:ascii="Times New Roman" w:hAnsi="Times New Roman" w:cs="Times New Roman"/>
          <w:color w:val="FF0000"/>
          <w:sz w:val="22"/>
          <w:szCs w:val="22"/>
        </w:rPr>
        <w:t xml:space="preserve"> </w:t>
      </w:r>
      <w:r w:rsidRPr="00DD02F2">
        <w:rPr>
          <w:rFonts w:ascii="Times New Roman" w:hAnsi="Times New Roman" w:cs="Times New Roman"/>
          <w:sz w:val="22"/>
          <w:szCs w:val="22"/>
        </w:rPr>
        <w:t>und nicht zuletzt</w:t>
      </w:r>
      <w:r w:rsidRPr="00DD02F2">
        <w:rPr>
          <w:rFonts w:ascii="Times New Roman" w:hAnsi="Times New Roman" w:cs="Times New Roman"/>
          <w:color w:val="FF0000"/>
          <w:sz w:val="22"/>
          <w:szCs w:val="22"/>
        </w:rPr>
        <w:t xml:space="preserve"> </w:t>
      </w:r>
      <w:r w:rsidRPr="00DD02F2">
        <w:rPr>
          <w:rFonts w:ascii="Times New Roman" w:hAnsi="Times New Roman" w:cs="Times New Roman"/>
          <w:sz w:val="22"/>
          <w:szCs w:val="22"/>
        </w:rPr>
        <w:t xml:space="preserve">eine Reihe eigene Verfassungen Macaries enthält.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lang w:val="ro-RO"/>
        </w:rPr>
        <w:t>„</w:t>
      </w:r>
      <w:r w:rsidRPr="00DD02F2">
        <w:rPr>
          <w:rFonts w:ascii="Times New Roman" w:hAnsi="Times New Roman" w:cs="Times New Roman"/>
          <w:sz w:val="22"/>
          <w:szCs w:val="22"/>
        </w:rPr>
        <w:t>Anixandarii</w:t>
      </w:r>
      <w:r w:rsidRPr="00DD02F2">
        <w:rPr>
          <w:rFonts w:ascii="Times New Roman" w:hAnsi="Times New Roman" w:cs="Times New Roman"/>
          <w:sz w:val="22"/>
          <w:szCs w:val="22"/>
          <w:lang w:val="ro-RO"/>
        </w:rPr>
        <w:t>“</w:t>
      </w:r>
      <w:r w:rsidR="00F80300" w:rsidRPr="00DD02F2">
        <w:rPr>
          <w:rFonts w:ascii="Times New Roman" w:hAnsi="Times New Roman" w:cs="Times New Roman"/>
          <w:sz w:val="22"/>
          <w:szCs w:val="22"/>
          <w:lang w:val="de-DE"/>
        </w:rPr>
        <w:t xml:space="preserve">[10] </w:t>
      </w:r>
      <w:r w:rsidRPr="00DD02F2">
        <w:rPr>
          <w:rFonts w:ascii="Times New Roman" w:hAnsi="Times New Roman" w:cs="Times New Roman"/>
          <w:sz w:val="22"/>
          <w:szCs w:val="22"/>
        </w:rPr>
        <w:t xml:space="preserve"> sind fünf von Macarie selbst während seines Aufenthaltes in Bârnova (1830) und Neamţ (1831-1833) geschriebene Exemplare </w:t>
      </w:r>
      <w:r w:rsidRPr="00DD02F2">
        <w:rPr>
          <w:rFonts w:ascii="Times New Roman" w:hAnsi="Times New Roman" w:cs="Times New Roman"/>
          <w:sz w:val="22"/>
          <w:szCs w:val="22"/>
          <w:lang w:val="ro-RO"/>
        </w:rPr>
        <w:t xml:space="preserve">„für den Gebrauch der Priester in den heiligen Klöstern </w:t>
      </w:r>
      <w:r w:rsidRPr="00DD02F2">
        <w:rPr>
          <w:rFonts w:ascii="Times New Roman" w:hAnsi="Times New Roman" w:cs="Times New Roman"/>
          <w:sz w:val="22"/>
          <w:szCs w:val="22"/>
        </w:rPr>
        <w:t>Neamţul und Cãldãru</w:t>
      </w:r>
      <w:r w:rsidRPr="00DD02F2">
        <w:rPr>
          <w:rFonts w:ascii="Times New Roman" w:hAnsi="Times New Roman" w:cs="Times New Roman"/>
          <w:sz w:val="22"/>
          <w:szCs w:val="22"/>
          <w:lang w:val="ro-RO"/>
        </w:rPr>
        <w:t>ş</w:t>
      </w:r>
      <w:r w:rsidRPr="00DD02F2">
        <w:rPr>
          <w:rFonts w:ascii="Times New Roman" w:hAnsi="Times New Roman" w:cs="Times New Roman"/>
          <w:sz w:val="22"/>
          <w:szCs w:val="22"/>
        </w:rPr>
        <w:t>ani, von Ordenspriester Macarie zum dritten Mal verfasst</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 xml:space="preserve">.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W</w:t>
      </w:r>
      <w:r w:rsidRPr="00DD02F2">
        <w:rPr>
          <w:rFonts w:ascii="Times New Roman" w:hAnsi="Times New Roman" w:cs="Times New Roman"/>
          <w:sz w:val="22"/>
          <w:szCs w:val="22"/>
          <w:lang w:val="ro-RO"/>
        </w:rPr>
        <w:t>eitere Werke sind „</w:t>
      </w:r>
      <w:r w:rsidRPr="00DD02F2">
        <w:rPr>
          <w:rFonts w:ascii="Times New Roman" w:hAnsi="Times New Roman" w:cs="Times New Roman"/>
          <w:sz w:val="22"/>
          <w:szCs w:val="22"/>
        </w:rPr>
        <w:t>Die Doxologie des Heiligen Ambrozie der Mediolans</w:t>
      </w:r>
      <w:r w:rsidRPr="00DD02F2">
        <w:rPr>
          <w:rFonts w:ascii="Times New Roman" w:hAnsi="Times New Roman" w:cs="Times New Roman"/>
          <w:sz w:val="22"/>
          <w:szCs w:val="22"/>
          <w:lang w:val="ro-RO"/>
        </w:rPr>
        <w:t>“</w:t>
      </w:r>
      <w:r w:rsidR="00F80300" w:rsidRPr="00DD02F2">
        <w:rPr>
          <w:rFonts w:ascii="Times New Roman" w:hAnsi="Times New Roman" w:cs="Times New Roman"/>
          <w:sz w:val="22"/>
          <w:szCs w:val="22"/>
          <w:lang w:val="de-DE"/>
        </w:rPr>
        <w:t xml:space="preserve">[11] </w:t>
      </w:r>
      <w:r w:rsidRPr="00DD02F2">
        <w:rPr>
          <w:rFonts w:ascii="Times New Roman" w:hAnsi="Times New Roman" w:cs="Times New Roman"/>
          <w:sz w:val="22"/>
          <w:szCs w:val="22"/>
        </w:rPr>
        <w:t>für den achten Ton, mit alternierend griechischen und rumänischen Versen vor 1833 vom „frommen Macarie Ordenspriester</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 xml:space="preserve">verfasst, so wie </w:t>
      </w:r>
      <w:r w:rsidRPr="00DD02F2">
        <w:rPr>
          <w:rFonts w:ascii="Times New Roman" w:hAnsi="Times New Roman" w:cs="Times New Roman"/>
          <w:sz w:val="22"/>
          <w:szCs w:val="22"/>
          <w:lang w:val="ro-RO"/>
        </w:rPr>
        <w:t>„Der K</w:t>
      </w:r>
      <w:r w:rsidRPr="00DD02F2">
        <w:rPr>
          <w:rFonts w:ascii="Times New Roman" w:hAnsi="Times New Roman" w:cs="Times New Roman"/>
          <w:sz w:val="22"/>
          <w:szCs w:val="22"/>
        </w:rPr>
        <w:t>anon der Stâlpãri</w:t>
      </w:r>
      <w:r w:rsidRPr="00DD02F2">
        <w:rPr>
          <w:rFonts w:ascii="Times New Roman" w:hAnsi="Times New Roman" w:cs="Times New Roman"/>
          <w:sz w:val="22"/>
          <w:szCs w:val="22"/>
          <w:lang w:val="ro-RO"/>
        </w:rPr>
        <w:t>“</w:t>
      </w:r>
      <w:r w:rsidR="00F80300" w:rsidRPr="00DD02F2">
        <w:rPr>
          <w:rFonts w:ascii="Times New Roman" w:hAnsi="Times New Roman" w:cs="Times New Roman"/>
          <w:sz w:val="22"/>
          <w:szCs w:val="22"/>
          <w:lang w:val="de-DE"/>
        </w:rPr>
        <w:t>[12]</w:t>
      </w:r>
      <w:r w:rsidRPr="00DD02F2">
        <w:rPr>
          <w:rFonts w:ascii="Times New Roman" w:hAnsi="Times New Roman" w:cs="Times New Roman"/>
          <w:sz w:val="22"/>
          <w:szCs w:val="22"/>
        </w:rPr>
        <w:t xml:space="preserve"> </w:t>
      </w:r>
      <w:r w:rsidRPr="00DD02F2">
        <w:rPr>
          <w:rFonts w:ascii="Times New Roman" w:hAnsi="Times New Roman" w:cs="Times New Roman"/>
          <w:sz w:val="22"/>
          <w:szCs w:val="22"/>
          <w:lang w:val="ro-RO"/>
        </w:rPr>
        <w:t xml:space="preserve">„in die </w:t>
      </w:r>
      <w:r w:rsidRPr="00DD02F2">
        <w:rPr>
          <w:rFonts w:ascii="Times New Roman" w:hAnsi="Times New Roman" w:cs="Times New Roman"/>
          <w:sz w:val="22"/>
          <w:szCs w:val="22"/>
        </w:rPr>
        <w:t xml:space="preserve">slavonische Sprache ins neue Verfahren übertragen, so wie er vom Lehrer </w:t>
      </w:r>
      <w:r w:rsidR="00F80300" w:rsidRPr="00DD02F2">
        <w:rPr>
          <w:rFonts w:ascii="Times New Roman" w:hAnsi="Times New Roman" w:cs="Times New Roman"/>
          <w:sz w:val="22"/>
          <w:szCs w:val="22"/>
        </w:rPr>
        <w:t>Ş</w:t>
      </w:r>
      <w:r w:rsidRPr="00DD02F2">
        <w:rPr>
          <w:rFonts w:ascii="Times New Roman" w:hAnsi="Times New Roman" w:cs="Times New Roman"/>
          <w:sz w:val="22"/>
          <w:szCs w:val="22"/>
        </w:rPr>
        <w:t>ãrban in der alten Maniere auf bulgarischem Ton verfasst wurde</w:t>
      </w:r>
      <w:r w:rsidRPr="00DD02F2">
        <w:rPr>
          <w:rFonts w:ascii="Times New Roman" w:hAnsi="Times New Roman" w:cs="Times New Roman"/>
          <w:sz w:val="22"/>
          <w:szCs w:val="22"/>
          <w:lang w:val="ro-RO"/>
        </w:rPr>
        <w:t>“.</w:t>
      </w:r>
      <w:r w:rsidR="00F80300" w:rsidRPr="00DD02F2">
        <w:rPr>
          <w:rFonts w:ascii="Times New Roman" w:hAnsi="Times New Roman" w:cs="Times New Roman"/>
          <w:sz w:val="22"/>
          <w:szCs w:val="22"/>
          <w:lang w:val="de-DE"/>
        </w:rPr>
        <w:t>[13]</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lang w:val="ro-RO"/>
        </w:rPr>
        <w:t>„Psalmenkompositionen“</w:t>
      </w:r>
      <w:r w:rsidR="00F80300" w:rsidRPr="00DD02F2">
        <w:rPr>
          <w:rFonts w:ascii="Times New Roman" w:hAnsi="Times New Roman" w:cs="Times New Roman"/>
          <w:sz w:val="22"/>
          <w:szCs w:val="22"/>
          <w:lang w:val="de-DE"/>
        </w:rPr>
        <w:t>[14]</w:t>
      </w:r>
      <w:r w:rsidRPr="00DD02F2">
        <w:rPr>
          <w:rFonts w:ascii="Times New Roman" w:hAnsi="Times New Roman" w:cs="Times New Roman"/>
          <w:sz w:val="22"/>
          <w:szCs w:val="22"/>
        </w:rPr>
        <w:t xml:space="preserve">umfasst siebenundzwanzig Psalmengesänge, an der Vesper,  Frühmesse und Liturgie gesungen, sowie vokale Werke mit moralisierendem Charakter und für die Laien gedacht: </w:t>
      </w:r>
      <w:r w:rsidRPr="00DD02F2">
        <w:rPr>
          <w:rFonts w:ascii="Times New Roman" w:hAnsi="Times New Roman" w:cs="Times New Roman"/>
          <w:i/>
          <w:sz w:val="22"/>
          <w:szCs w:val="22"/>
        </w:rPr>
        <w:t>Der Morgengesang</w:t>
      </w:r>
      <w:r w:rsidRPr="00DD02F2">
        <w:rPr>
          <w:rFonts w:ascii="Times New Roman" w:hAnsi="Times New Roman" w:cs="Times New Roman"/>
          <w:sz w:val="22"/>
          <w:szCs w:val="22"/>
        </w:rPr>
        <w:t xml:space="preserve">  im achten Ton zu den Versen von Ion Heliade Rãdulescu und der </w:t>
      </w:r>
      <w:r w:rsidRPr="00DD02F2">
        <w:rPr>
          <w:rFonts w:ascii="Times New Roman" w:hAnsi="Times New Roman" w:cs="Times New Roman"/>
          <w:i/>
          <w:sz w:val="22"/>
          <w:szCs w:val="22"/>
        </w:rPr>
        <w:t>Öffne dich Mund zum Gesang</w:t>
      </w:r>
      <w:r w:rsidRPr="00DD02F2">
        <w:rPr>
          <w:rFonts w:ascii="Times New Roman" w:hAnsi="Times New Roman" w:cs="Times New Roman"/>
          <w:sz w:val="22"/>
          <w:szCs w:val="22"/>
        </w:rPr>
        <w:t xml:space="preserve">  auch im achten Ton, aber zu den Versen von  Barbu Paris Mumuleanu, beide vermerkte Gesänge sind eigene Schöpfungen des Ordenspriesters. Es gäbe noch zwei weitere Manuskripte im engen Zusammenhang mit dem Drucken des </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Teoretikon</w:t>
      </w:r>
      <w:r w:rsidRPr="00DD02F2">
        <w:rPr>
          <w:rFonts w:ascii="Times New Roman" w:hAnsi="Times New Roman" w:cs="Times New Roman"/>
          <w:sz w:val="22"/>
          <w:szCs w:val="22"/>
          <w:lang w:val="ro-RO"/>
        </w:rPr>
        <w:t>“ in Wien</w:t>
      </w:r>
      <w:r w:rsidRPr="00DD02F2">
        <w:rPr>
          <w:rFonts w:ascii="Times New Roman" w:hAnsi="Times New Roman" w:cs="Times New Roman"/>
          <w:sz w:val="22"/>
          <w:szCs w:val="22"/>
        </w:rPr>
        <w:t>.</w:t>
      </w:r>
      <w:r w:rsidR="00F80300" w:rsidRPr="00DD02F2">
        <w:rPr>
          <w:rFonts w:ascii="Times New Roman" w:hAnsi="Times New Roman" w:cs="Times New Roman"/>
          <w:sz w:val="22"/>
          <w:szCs w:val="22"/>
          <w:lang w:val="de-DE"/>
        </w:rPr>
        <w:t xml:space="preserve">[15] </w:t>
      </w:r>
      <w:r w:rsidRPr="00DD02F2">
        <w:rPr>
          <w:rFonts w:ascii="Times New Roman" w:hAnsi="Times New Roman" w:cs="Times New Roman"/>
          <w:sz w:val="22"/>
          <w:szCs w:val="22"/>
        </w:rPr>
        <w:t xml:space="preserve">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Die im Manuskript gebliebenen Werke von Macarie nur aufzählend werden wir uns im Folgenden mit seinen gedruckten Werken beschäftigen, unter denen vier noch zu seinem Lebzeiten, unter seiner direkten Betreuung erschienen sind, während das fünfte Buch in Buzãu vom Bischof Chesarie im Jahre seines Todes (1836) gedruckt wurde. </w:t>
      </w:r>
    </w:p>
    <w:p w:rsidR="001367F8" w:rsidRPr="00DD02F2" w:rsidRDefault="001367F8" w:rsidP="001367F8">
      <w:pPr>
        <w:pStyle w:val="PreformattedText"/>
        <w:ind w:firstLine="567"/>
        <w:jc w:val="both"/>
        <w:rPr>
          <w:rFonts w:ascii="Times New Roman" w:hAnsi="Times New Roman" w:cs="Times New Roman"/>
          <w:b/>
          <w:sz w:val="22"/>
          <w:szCs w:val="22"/>
        </w:rPr>
      </w:pPr>
      <w:r w:rsidRPr="00DD02F2">
        <w:rPr>
          <w:rFonts w:ascii="Times New Roman" w:hAnsi="Times New Roman" w:cs="Times New Roman"/>
          <w:sz w:val="22"/>
          <w:szCs w:val="22"/>
        </w:rPr>
        <w:t xml:space="preserve">Das wichtigste Werk von Macarie ist der </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Teoretikon</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 xml:space="preserve"> </w:t>
      </w:r>
      <w:r w:rsidRPr="00DD02F2">
        <w:rPr>
          <w:rFonts w:ascii="Times New Roman" w:hAnsi="Times New Roman" w:cs="Times New Roman"/>
          <w:i/>
          <w:iCs/>
          <w:sz w:val="22"/>
          <w:szCs w:val="22"/>
        </w:rPr>
        <w:t xml:space="preserve">(Teo-retikon oder Überblick über die Kunst des Kirchengesangs nach der Stiftung des neuen Verfahrens, zum ersten Mal in den Tagen unseres Herrschers, des Fürsten Grigore Dimitrie Ghica seiner Majestät ausgedruckt) </w:t>
      </w:r>
      <w:r w:rsidRPr="00DD02F2">
        <w:rPr>
          <w:rFonts w:ascii="Times New Roman" w:hAnsi="Times New Roman" w:cs="Times New Roman"/>
          <w:iCs/>
          <w:sz w:val="22"/>
          <w:szCs w:val="22"/>
        </w:rPr>
        <w:t xml:space="preserve">1823 in Wien gedruckt und es hat das Privilegium, als erste Publikation zur Musiktheorie in rumänischer Sprache betrachtet zu werden. Vorliegende _Arbeit stellt die für die Landsleute in der Sprache der Ahnen </w:t>
      </w:r>
      <w:r w:rsidRPr="00DD02F2">
        <w:rPr>
          <w:rFonts w:ascii="Times New Roman" w:hAnsi="Times New Roman" w:cs="Times New Roman"/>
          <w:sz w:val="22"/>
          <w:szCs w:val="22"/>
        </w:rPr>
        <w:t xml:space="preserve">nach der neuen Reform </w:t>
      </w:r>
      <w:r w:rsidRPr="00DD02F2">
        <w:rPr>
          <w:rFonts w:ascii="Times New Roman" w:hAnsi="Times New Roman" w:cs="Times New Roman"/>
          <w:iCs/>
          <w:sz w:val="22"/>
          <w:szCs w:val="22"/>
        </w:rPr>
        <w:t>verfasste Musiktheorie</w:t>
      </w:r>
      <w:r w:rsidRPr="00DD02F2">
        <w:rPr>
          <w:rFonts w:ascii="Times New Roman" w:hAnsi="Times New Roman" w:cs="Times New Roman"/>
          <w:sz w:val="22"/>
          <w:szCs w:val="22"/>
        </w:rPr>
        <w:t xml:space="preserve"> kurz vor. Der erwähnte Band erklärt durch die Gesänge und die aufgeführten theoretisch-ästhetischen Prinzipien die Basiszeichen der neuen Schreibweise und legt den Akzent auf die Töne der Kirchenmusik. Eine Reihe von schmuckhaft ausgeführten Tafeln verzeichnet die Tonstufen. Sich auf dem griechischen Text stützend war es selbstverstädlich, in einer zum ersten Mal, als Pionierarbeit durchgeführten Übersetzung  </w:t>
      </w:r>
      <w:r w:rsidRPr="00DD02F2">
        <w:rPr>
          <w:rFonts w:ascii="Times New Roman" w:hAnsi="Times New Roman" w:cs="Times New Roman"/>
          <w:sz w:val="22"/>
          <w:szCs w:val="22"/>
          <w:lang w:val="ro-RO"/>
        </w:rPr>
        <w:t>„nach dem Erlernen der Charakteristika der Muttersprache</w:t>
      </w:r>
      <w:r w:rsidRPr="00DD02F2">
        <w:rPr>
          <w:rFonts w:ascii="Times New Roman" w:hAnsi="Times New Roman" w:cs="Times New Roman"/>
          <w:sz w:val="22"/>
          <w:szCs w:val="22"/>
        </w:rPr>
        <w:t>...</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 xml:space="preserve"> (Ausdruck von Macarie), unpassende Übertragungen, unbeholfene Formulierungen und sogar ungenügend logisch formulierte Interpretationen zu finden, aber es sollte wie in allen Tätigkeiten dieser Art vor allem die gute Absicht und das patriotische Gefühl zählen und nicht das konkrete Resultat. Die Arbeit wurde posthumus mehrmals verlegt, die letzte Auflage ist 1976 sogar mit einem Vorwort  von Titus Moisescu versehen.</w:t>
      </w:r>
      <w:r w:rsidR="00F80300" w:rsidRPr="00DD02F2">
        <w:rPr>
          <w:rFonts w:ascii="Times New Roman" w:hAnsi="Times New Roman" w:cs="Times New Roman"/>
          <w:sz w:val="22"/>
          <w:szCs w:val="22"/>
          <w:lang w:val="de-DE"/>
        </w:rPr>
        <w:t>[16]</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lang w:val="ro-RO"/>
        </w:rPr>
        <w:t xml:space="preserve">„Der </w:t>
      </w:r>
      <w:r w:rsidRPr="00DD02F2">
        <w:rPr>
          <w:rFonts w:ascii="Times New Roman" w:hAnsi="Times New Roman" w:cs="Times New Roman"/>
          <w:sz w:val="22"/>
          <w:szCs w:val="22"/>
        </w:rPr>
        <w:t>Anastisamatar</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 xml:space="preserve"> </w:t>
      </w:r>
      <w:r w:rsidRPr="00DD02F2">
        <w:rPr>
          <w:rFonts w:ascii="Times New Roman" w:hAnsi="Times New Roman" w:cs="Times New Roman"/>
          <w:i/>
          <w:iCs/>
          <w:sz w:val="22"/>
          <w:szCs w:val="22"/>
        </w:rPr>
        <w:t xml:space="preserve">(Der kirchliche Anastisamatar nach der Stiftung der neuen Verfahren) </w:t>
      </w:r>
      <w:r w:rsidRPr="00DD02F2">
        <w:rPr>
          <w:rFonts w:ascii="Times New Roman" w:hAnsi="Times New Roman" w:cs="Times New Roman"/>
          <w:iCs/>
          <w:sz w:val="22"/>
          <w:szCs w:val="22"/>
        </w:rPr>
        <w:t>stellt das zweite</w:t>
      </w:r>
      <w:r w:rsidRPr="00DD02F2">
        <w:rPr>
          <w:rFonts w:ascii="Times New Roman" w:hAnsi="Times New Roman" w:cs="Times New Roman"/>
          <w:i/>
          <w:iCs/>
          <w:sz w:val="22"/>
          <w:szCs w:val="22"/>
        </w:rPr>
        <w:t xml:space="preserve"> </w:t>
      </w:r>
      <w:r w:rsidRPr="00DD02F2">
        <w:rPr>
          <w:rFonts w:ascii="Times New Roman" w:hAnsi="Times New Roman" w:cs="Times New Roman"/>
          <w:sz w:val="22"/>
          <w:szCs w:val="22"/>
        </w:rPr>
        <w:t xml:space="preserve">1823 in Wien in der Muttersprache herausgegebene Werk Macaries dar, oder wie er es selber sagt  </w:t>
      </w:r>
      <w:r w:rsidRPr="00DD02F2">
        <w:rPr>
          <w:rFonts w:ascii="Times New Roman" w:hAnsi="Times New Roman" w:cs="Times New Roman"/>
          <w:i/>
          <w:iCs/>
          <w:sz w:val="22"/>
          <w:szCs w:val="22"/>
        </w:rPr>
        <w:t xml:space="preserve"> </w:t>
      </w:r>
      <w:r w:rsidRPr="00DD02F2">
        <w:rPr>
          <w:rFonts w:ascii="Times New Roman" w:hAnsi="Times New Roman" w:cs="Times New Roman"/>
          <w:sz w:val="22"/>
          <w:szCs w:val="22"/>
          <w:lang w:val="ro-RO"/>
        </w:rPr>
        <w:t>„… Musikbuch, das in der Sprache des Varterlandes gedruckt wurde …“. Im vermerkten Band greift Macarie im Vorwort</w:t>
      </w:r>
      <w:r w:rsidRPr="00DD02F2">
        <w:rPr>
          <w:rFonts w:ascii="Times New Roman" w:hAnsi="Times New Roman" w:cs="Times New Roman"/>
          <w:sz w:val="22"/>
          <w:szCs w:val="22"/>
        </w:rPr>
        <w:t xml:space="preserve"> </w:t>
      </w:r>
      <w:r w:rsidRPr="00DD02F2">
        <w:rPr>
          <w:rFonts w:ascii="Times New Roman" w:hAnsi="Times New Roman" w:cs="Times New Roman"/>
          <w:sz w:val="22"/>
          <w:szCs w:val="22"/>
          <w:lang w:val="ro-RO"/>
        </w:rPr>
        <w:t>„zu auserlesenen Worte, um die Metropoliten der Walachei zu loben“</w:t>
      </w:r>
      <w:r w:rsidRPr="00DD02F2">
        <w:rPr>
          <w:rFonts w:ascii="Times New Roman" w:hAnsi="Times New Roman" w:cs="Times New Roman"/>
          <w:sz w:val="22"/>
          <w:szCs w:val="22"/>
        </w:rPr>
        <w:t xml:space="preserve">, so hat er auch ihr Wohlwollen erworben. Auch in dieses Werk nimmt der Ordenspriester die für die am Samstagabend und Sonntagmorgen zelebrierte Liturgie spezifischen Gesänge in allen acht Tönen auf.  Als Muster zu diesem Werk diente der </w:t>
      </w:r>
      <w:r w:rsidRPr="00DD02F2">
        <w:rPr>
          <w:rFonts w:ascii="Times New Roman" w:hAnsi="Times New Roman" w:cs="Times New Roman"/>
          <w:sz w:val="22"/>
          <w:szCs w:val="22"/>
          <w:lang w:val="ro-RO"/>
        </w:rPr>
        <w:t>„Anastisamatar“</w:t>
      </w:r>
      <w:r w:rsidRPr="00DD02F2">
        <w:rPr>
          <w:rFonts w:ascii="Times New Roman" w:hAnsi="Times New Roman" w:cs="Times New Roman"/>
          <w:sz w:val="22"/>
          <w:szCs w:val="22"/>
        </w:rPr>
        <w:t xml:space="preserve"> von  Petru Lampadarie von den Peloponesischen Inseln, es wurde nach dem Werk Petru Efesius korrigiert und erschien 1820 in Bukarest. Die rot und schwarz gefärbten Charaktere – grafische Möglichkeiten, denen sich der oben genannte Band freute – haben ihm eine besondere Charme verliehen. Es kann mit voller Sicherheit erklärt werden, dass sein Grundwerk als „klassisches Buch der Musikliteratur</w:t>
      </w:r>
      <w:r w:rsidRPr="00DD02F2">
        <w:rPr>
          <w:rFonts w:ascii="Times New Roman" w:hAnsi="Times New Roman" w:cs="Times New Roman"/>
          <w:sz w:val="22"/>
          <w:szCs w:val="22"/>
          <w:lang w:val="ro-RO"/>
        </w:rPr>
        <w:t>“</w:t>
      </w:r>
      <w:r w:rsidR="00F80300" w:rsidRPr="00DD02F2">
        <w:rPr>
          <w:rFonts w:ascii="Times New Roman" w:hAnsi="Times New Roman" w:cs="Times New Roman"/>
          <w:sz w:val="22"/>
          <w:szCs w:val="22"/>
          <w:lang w:val="de-DE"/>
        </w:rPr>
        <w:t xml:space="preserve">[17] </w:t>
      </w:r>
      <w:r w:rsidRPr="00DD02F2">
        <w:rPr>
          <w:rFonts w:ascii="Times New Roman" w:hAnsi="Times New Roman" w:cs="Times New Roman"/>
          <w:sz w:val="22"/>
          <w:szCs w:val="22"/>
          <w:lang w:val="ro-RO"/>
        </w:rPr>
        <w:t>hinterblieben ist</w:t>
      </w:r>
      <w:r w:rsidRPr="00DD02F2">
        <w:rPr>
          <w:rFonts w:ascii="Times New Roman" w:hAnsi="Times New Roman" w:cs="Times New Roman"/>
          <w:sz w:val="22"/>
          <w:szCs w:val="22"/>
        </w:rPr>
        <w:t xml:space="preserve">.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Der Vorsänger der rumänischen Musik von der ersten Hälfte des XIX. Jahrhunderts hat vorliegende Studie nach einem in seiner Anfangsphase befindenden griechischen Manuskript verfasst. </w:t>
      </w:r>
      <w:r w:rsidRPr="00DD02F2">
        <w:rPr>
          <w:rFonts w:ascii="Times New Roman" w:hAnsi="Times New Roman" w:cs="Times New Roman"/>
          <w:sz w:val="22"/>
          <w:szCs w:val="22"/>
        </w:rPr>
        <w:lastRenderedPageBreak/>
        <w:t xml:space="preserve">Wenn  Efesiu in der Zwischenzeit seinen eigenen </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Anastisamatar</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 xml:space="preserve"> druckt, hat auch Ordenspriester Macarie zweifelsohne die Überarbeitung der Gesänge im Geiste der Übertragungen seines Mentors unternommen. Obwohl er den griechischen melodischen Umriss behält, plädiert er trotzdem für seine Synchronisierung mit dem spezifischen Charakter der rumänischen Wörter, indem er im Werk leichte Veränderungen an den Stellen durchführt, wo das das Spezifikum der Sprache und  das natürliche Klingen der musikalischen Phrase verlangt. Die echtesten Stücke des </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Anastisamatar</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 xml:space="preserve"> mit einer großen Relevanz für die Kirchenmusik könnten folgende sein: </w:t>
      </w:r>
      <w:r w:rsidRPr="00DD02F2">
        <w:rPr>
          <w:rFonts w:ascii="Times New Roman" w:hAnsi="Times New Roman" w:cs="Times New Roman"/>
          <w:sz w:val="22"/>
          <w:szCs w:val="22"/>
          <w:lang w:val="ro-RO"/>
        </w:rPr>
        <w:t>„Über die Schönheit deiner Jungfräulichkeit“ und</w:t>
      </w:r>
      <w:r w:rsidRPr="00DD02F2">
        <w:rPr>
          <w:rFonts w:ascii="Times New Roman" w:hAnsi="Times New Roman" w:cs="Times New Roman"/>
          <w:sz w:val="22"/>
          <w:szCs w:val="22"/>
        </w:rPr>
        <w:t xml:space="preserve"> </w:t>
      </w:r>
      <w:r w:rsidRPr="00DD02F2">
        <w:rPr>
          <w:rFonts w:ascii="Times New Roman" w:hAnsi="Times New Roman" w:cs="Times New Roman"/>
          <w:sz w:val="22"/>
          <w:szCs w:val="22"/>
          <w:lang w:val="ro-RO"/>
        </w:rPr>
        <w:t>„Zur Freude der Himmlischen“</w:t>
      </w:r>
      <w:r w:rsidRPr="00DD02F2">
        <w:rPr>
          <w:rFonts w:ascii="Times New Roman" w:hAnsi="Times New Roman" w:cs="Times New Roman"/>
          <w:sz w:val="22"/>
          <w:szCs w:val="22"/>
        </w:rPr>
        <w:t xml:space="preserve">.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Das letzte 1823 in Wien gedruckte Werk trägt den Titel </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Irmologhion</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 xml:space="preserve"> </w:t>
      </w:r>
      <w:r w:rsidRPr="00DD02F2">
        <w:rPr>
          <w:rFonts w:ascii="Times New Roman" w:hAnsi="Times New Roman" w:cs="Times New Roman"/>
          <w:i/>
          <w:iCs/>
          <w:sz w:val="22"/>
          <w:szCs w:val="22"/>
        </w:rPr>
        <w:t xml:space="preserve">(Irmologhionid oder Catavasierhi muslcescu)  </w:t>
      </w:r>
      <w:r w:rsidRPr="00DD02F2">
        <w:rPr>
          <w:rFonts w:ascii="Times New Roman" w:hAnsi="Times New Roman" w:cs="Times New Roman"/>
          <w:iCs/>
          <w:sz w:val="22"/>
          <w:szCs w:val="22"/>
        </w:rPr>
        <w:t>und es ist eine</w:t>
      </w:r>
      <w:r w:rsidRPr="00DD02F2">
        <w:rPr>
          <w:rFonts w:ascii="Times New Roman" w:hAnsi="Times New Roman" w:cs="Times New Roman"/>
          <w:sz w:val="22"/>
          <w:szCs w:val="22"/>
        </w:rPr>
        <w:t xml:space="preserve"> </w:t>
      </w:r>
      <w:r w:rsidRPr="00DD02F2">
        <w:rPr>
          <w:rFonts w:ascii="Times New Roman" w:hAnsi="Times New Roman" w:cs="Times New Roman"/>
          <w:sz w:val="22"/>
          <w:szCs w:val="22"/>
          <w:lang w:val="ro-RO"/>
        </w:rPr>
        <w:t>„Schöpfung im puresten rumänischen Stil“</w:t>
      </w:r>
      <w:r w:rsidR="00F80300" w:rsidRPr="00DD02F2">
        <w:rPr>
          <w:rFonts w:ascii="Times New Roman" w:hAnsi="Times New Roman" w:cs="Times New Roman"/>
          <w:sz w:val="22"/>
          <w:szCs w:val="22"/>
          <w:lang w:val="de-DE"/>
        </w:rPr>
        <w:t>[18]</w:t>
      </w:r>
      <w:r w:rsidRPr="00DD02F2">
        <w:rPr>
          <w:rFonts w:ascii="Times New Roman" w:hAnsi="Times New Roman" w:cs="Times New Roman"/>
          <w:sz w:val="22"/>
          <w:szCs w:val="22"/>
        </w:rPr>
        <w:t xml:space="preserve">, aus der </w:t>
      </w:r>
      <w:r w:rsidRPr="00DD02F2">
        <w:rPr>
          <w:rFonts w:ascii="Times New Roman" w:hAnsi="Times New Roman" w:cs="Times New Roman"/>
          <w:sz w:val="22"/>
          <w:szCs w:val="22"/>
          <w:lang w:val="ro-RO"/>
        </w:rPr>
        <w:t>„der begeisterte patriotische Inhalt”hervordrängt, „</w:t>
      </w:r>
      <w:r w:rsidRPr="00DD02F2">
        <w:rPr>
          <w:rFonts w:ascii="Times New Roman" w:hAnsi="Times New Roman" w:cs="Times New Roman"/>
          <w:sz w:val="22"/>
          <w:szCs w:val="22"/>
        </w:rPr>
        <w:t>wodurch Macarie all seinen Gefühle als guter Rumäne zum Ausdruck bringt</w:t>
      </w:r>
      <w:r w:rsidRPr="00DD02F2">
        <w:rPr>
          <w:rFonts w:ascii="Times New Roman" w:hAnsi="Times New Roman" w:cs="Times New Roman"/>
          <w:sz w:val="22"/>
          <w:szCs w:val="22"/>
          <w:lang w:val="ro-RO"/>
        </w:rPr>
        <w:t>“.</w:t>
      </w:r>
      <w:r w:rsidR="00F80300" w:rsidRPr="00DD02F2">
        <w:rPr>
          <w:rFonts w:ascii="Times New Roman" w:hAnsi="Times New Roman" w:cs="Times New Roman"/>
          <w:sz w:val="22"/>
          <w:szCs w:val="22"/>
          <w:lang w:val="de-DE"/>
        </w:rPr>
        <w:t xml:space="preserve">[19] </w:t>
      </w:r>
      <w:r w:rsidRPr="00DD02F2">
        <w:rPr>
          <w:rFonts w:ascii="Times New Roman" w:hAnsi="Times New Roman" w:cs="Times New Roman"/>
          <w:sz w:val="22"/>
          <w:szCs w:val="22"/>
        </w:rPr>
        <w:t xml:space="preserve"> Das zitierte Werk enthält Schöpfungen von Kompositoren wie: Petru Vizantie, Petru Lampadarie und Gheorghe von Kreta, aber einige Gesänge haben einen stark einheimischen psaltischen Charakter, hier erwähnen wir die Lobgesänge für Festtage – Basiswerk des Vorsängers und verschiedene Titel wie: </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Katavasia (erste Strophe eines Kanons) der kaiserlichen Festtage und der Mutter Gottes</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 xml:space="preserve">, </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Katavasia des Triodion und des Gebetsbuches für die Zeitspanne zwischen Ostern und Pfingsten</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 xml:space="preserve">, </w:t>
      </w:r>
      <w:r w:rsidRPr="00DD02F2">
        <w:rPr>
          <w:rFonts w:ascii="Times New Roman" w:hAnsi="Times New Roman" w:cs="Times New Roman"/>
          <w:sz w:val="22"/>
          <w:szCs w:val="22"/>
          <w:lang w:val="ro-RO"/>
        </w:rPr>
        <w:t>„Gesänge der Frühmesse“</w:t>
      </w:r>
      <w:r w:rsidRPr="00DD02F2">
        <w:rPr>
          <w:rFonts w:ascii="Times New Roman" w:hAnsi="Times New Roman" w:cs="Times New Roman"/>
          <w:sz w:val="22"/>
          <w:szCs w:val="22"/>
        </w:rPr>
        <w:t xml:space="preserve">, </w:t>
      </w:r>
      <w:r w:rsidRPr="00DD02F2">
        <w:rPr>
          <w:rFonts w:ascii="Times New Roman" w:hAnsi="Times New Roman" w:cs="Times New Roman"/>
          <w:sz w:val="22"/>
          <w:szCs w:val="22"/>
          <w:lang w:val="ro-RO"/>
        </w:rPr>
        <w:t xml:space="preserve">„Gesänge des </w:t>
      </w:r>
      <w:r w:rsidRPr="00DD02F2">
        <w:rPr>
          <w:rFonts w:ascii="Times New Roman" w:hAnsi="Times New Roman" w:cs="Times New Roman"/>
          <w:sz w:val="22"/>
          <w:szCs w:val="22"/>
        </w:rPr>
        <w:t>Triodion in der Karwoche</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 xml:space="preserve">, kurze Lobgesänge zum Totenamt Gottes, Segen der Auferstehung und Kirchenmelodien zur Vesper.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Das vierte Buch des Vorsängers mit dem Titel </w:t>
      </w:r>
      <w:r w:rsidRPr="00DD02F2">
        <w:rPr>
          <w:rFonts w:ascii="Times New Roman" w:hAnsi="Times New Roman" w:cs="Times New Roman"/>
          <w:sz w:val="22"/>
          <w:szCs w:val="22"/>
          <w:lang w:val="ro-RO"/>
        </w:rPr>
        <w:t>„Band zwei der Antologie“, 1827 in Bukarest gedruckt, besteht aus</w:t>
      </w:r>
      <w:r w:rsidRPr="00DD02F2">
        <w:rPr>
          <w:rFonts w:ascii="Times New Roman" w:hAnsi="Times New Roman" w:cs="Times New Roman"/>
          <w:sz w:val="22"/>
          <w:szCs w:val="22"/>
        </w:rPr>
        <w:t xml:space="preserve">: Gesänge zur Vesper </w:t>
      </w:r>
      <w:r w:rsidRPr="00DD02F2">
        <w:rPr>
          <w:rFonts w:ascii="Times New Roman" w:hAnsi="Times New Roman" w:cs="Times New Roman"/>
          <w:i/>
          <w:iCs/>
          <w:sz w:val="22"/>
          <w:szCs w:val="22"/>
        </w:rPr>
        <w:t>(Lobgesänge zur Auferstehung, Segen zur Auferstehung, Zitate von den biblischen Psalmen, Kurzhmynen meistens an der Sonntags- oder Festmesse, Klares Licht, die elf Auferstehungsgesänge)</w:t>
      </w:r>
      <w:r w:rsidRPr="00DD02F2">
        <w:rPr>
          <w:rFonts w:ascii="Times New Roman" w:hAnsi="Times New Roman" w:cs="Times New Roman"/>
          <w:sz w:val="22"/>
          <w:szCs w:val="22"/>
        </w:rPr>
        <w:t xml:space="preserve">, und wurde von den Folgenden verfasst: Petru Lampadarie, Hurmuz Hartofilax, den Vorsängern Grigore und Iacob und nicht zuletzt zählt es zu seinen Autoren den Ordenspriester Macarie, Dionisie Moraitul und Mihalache Moldoveanu.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Das letzte Buch von Macarie trägt den Titel </w:t>
      </w:r>
      <w:r w:rsidRPr="00DD02F2">
        <w:rPr>
          <w:rFonts w:ascii="Times New Roman" w:hAnsi="Times New Roman" w:cs="Times New Roman"/>
          <w:sz w:val="22"/>
          <w:szCs w:val="22"/>
          <w:lang w:val="ro-RO"/>
        </w:rPr>
        <w:t>„Totenamt unseres Herrn und Erlösers, Jesu Christi</w:t>
      </w:r>
      <w:r w:rsidRPr="00DD02F2">
        <w:rPr>
          <w:rFonts w:ascii="Times New Roman" w:hAnsi="Times New Roman" w:cs="Times New Roman"/>
          <w:sz w:val="22"/>
          <w:szCs w:val="22"/>
        </w:rPr>
        <w:t>, das</w:t>
      </w:r>
      <w:r w:rsidRPr="00DD02F2">
        <w:rPr>
          <w:rFonts w:ascii="Times New Roman" w:hAnsi="Times New Roman" w:cs="Times New Roman"/>
          <w:sz w:val="22"/>
          <w:szCs w:val="22"/>
          <w:lang w:val="ro-RO"/>
        </w:rPr>
        <w:t xml:space="preserve"> am Karfreitagabend, am Nachtgottesdienst gesungen wird, so wie es die Griechen singen, ohne Silbenminderung oder -vermehrung“</w:t>
      </w:r>
      <w:r w:rsidRPr="00DD02F2">
        <w:rPr>
          <w:rFonts w:ascii="Times New Roman" w:hAnsi="Times New Roman" w:cs="Times New Roman"/>
          <w:sz w:val="22"/>
          <w:szCs w:val="22"/>
        </w:rPr>
        <w:t xml:space="preserve"> und ist im letzten Jahr seines Lebens (1836) in Buzãu erschienen. Das Werk hat ein Vorwort vom berühmten Bischof  Chesarie von Buzãu gezeichnet und ist, in seiner Ganzheit vom Vorsänger Macarie an seinem Lebensabend und am Ende seiner Karriere verfasst, eines der eindrucksvollsten Schöpfungen seiner Tätigkeit.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In diesem Kontext erklärt Pfr. Prof. dr. Nicu Moldoveanu, der berühmte zeitgenössische Bysantinologe: </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Macarie hat sich als Vorvater der rumänischen Psalmenmusik zur gleichen Zeit durch die Tatsache durchgesetzt, dass er die Texte der Gesänge in die Nationalsprache übertragen hat, und dadurch, dass er passende, dem rumänischen Geiste entsprechende Formulierungen gefunden hat...</w:t>
      </w:r>
      <w:r w:rsidRPr="00DD02F2">
        <w:rPr>
          <w:rFonts w:ascii="Times New Roman" w:hAnsi="Times New Roman" w:cs="Times New Roman"/>
          <w:sz w:val="22"/>
          <w:szCs w:val="22"/>
          <w:lang w:val="ro-RO"/>
        </w:rPr>
        <w:t>“</w:t>
      </w:r>
      <w:r w:rsidR="00F80300" w:rsidRPr="00DD02F2">
        <w:rPr>
          <w:rFonts w:ascii="Times New Roman" w:hAnsi="Times New Roman" w:cs="Times New Roman"/>
          <w:sz w:val="22"/>
          <w:szCs w:val="22"/>
          <w:lang w:val="de-DE"/>
        </w:rPr>
        <w:t>[20]</w:t>
      </w:r>
      <w:r w:rsidRPr="00DD02F2">
        <w:rPr>
          <w:rFonts w:ascii="Times New Roman" w:hAnsi="Times New Roman" w:cs="Times New Roman"/>
          <w:sz w:val="22"/>
          <w:szCs w:val="22"/>
        </w:rPr>
        <w:t>, während der bekannte Prälat,  Nifon Ploie</w:t>
      </w:r>
      <w:r w:rsidRPr="00DD02F2">
        <w:rPr>
          <w:rFonts w:ascii="Times New Roman" w:hAnsi="Times New Roman" w:cs="Times New Roman"/>
          <w:sz w:val="22"/>
          <w:szCs w:val="22"/>
          <w:lang w:val="ro-RO"/>
        </w:rPr>
        <w:t xml:space="preserve">şteanu, den berühmten Ordenspriester in seinem Grundwerk „Buch zur Kirchenmusik“ </w:t>
      </w:r>
      <w:r w:rsidRPr="00DD02F2">
        <w:rPr>
          <w:rFonts w:ascii="Times New Roman" w:hAnsi="Times New Roman" w:cs="Times New Roman"/>
          <w:sz w:val="22"/>
          <w:szCs w:val="22"/>
        </w:rPr>
        <w:t xml:space="preserve">als </w:t>
      </w:r>
      <w:r w:rsidRPr="00DD02F2">
        <w:rPr>
          <w:rFonts w:ascii="Times New Roman" w:hAnsi="Times New Roman" w:cs="Times New Roman"/>
          <w:sz w:val="22"/>
          <w:szCs w:val="22"/>
          <w:lang w:val="ro-RO"/>
        </w:rPr>
        <w:t xml:space="preserve">„vollkommenen Musiker und guten Kenner der Verfahren </w:t>
      </w:r>
      <w:r w:rsidRPr="00DD02F2">
        <w:rPr>
          <w:rFonts w:ascii="Times New Roman" w:eastAsia="MS PMincho" w:hAnsi="Times New Roman" w:cs="Times New Roman"/>
          <w:sz w:val="22"/>
          <w:szCs w:val="22"/>
          <w:lang w:val="ro-RO"/>
        </w:rPr>
        <w:t>–</w:t>
      </w:r>
      <w:r w:rsidRPr="00DD02F2">
        <w:rPr>
          <w:rFonts w:ascii="Times New Roman" w:eastAsia="MS PMincho" w:hAnsi="Times New Roman" w:cs="Times New Roman"/>
          <w:sz w:val="22"/>
          <w:szCs w:val="22"/>
          <w:lang w:val="de-AT"/>
        </w:rPr>
        <w:t xml:space="preserve">alten und neuen </w:t>
      </w:r>
      <w:r w:rsidRPr="00DD02F2">
        <w:rPr>
          <w:rFonts w:ascii="Times New Roman" w:eastAsia="MS PMincho" w:hAnsi="Times New Roman" w:cs="Times New Roman"/>
          <w:sz w:val="22"/>
          <w:szCs w:val="22"/>
          <w:lang w:val="ro-RO"/>
        </w:rPr>
        <w:t>–</w:t>
      </w:r>
      <w:r w:rsidRPr="00DD02F2">
        <w:rPr>
          <w:rFonts w:ascii="Times New Roman" w:eastAsia="MS PMincho" w:hAnsi="Times New Roman" w:cs="Times New Roman"/>
          <w:sz w:val="22"/>
          <w:szCs w:val="22"/>
          <w:lang w:val="de-AT"/>
        </w:rPr>
        <w:t xml:space="preserve"> </w:t>
      </w:r>
      <w:r w:rsidRPr="00DD02F2">
        <w:rPr>
          <w:rFonts w:ascii="Times New Roman" w:hAnsi="Times New Roman" w:cs="Times New Roman"/>
          <w:sz w:val="22"/>
          <w:szCs w:val="22"/>
          <w:lang w:val="ro-RO"/>
        </w:rPr>
        <w:t>des Kirchgesanges</w:t>
      </w:r>
      <w:r w:rsidRPr="00DD02F2">
        <w:rPr>
          <w:rFonts w:ascii="Times New Roman" w:hAnsi="Times New Roman" w:cs="Times New Roman"/>
          <w:sz w:val="22"/>
          <w:szCs w:val="22"/>
        </w:rPr>
        <w:t>, guten Rumänen und ausgezeichneten Redner.</w:t>
      </w:r>
      <w:r w:rsidRPr="00DD02F2">
        <w:rPr>
          <w:rFonts w:ascii="Times New Roman" w:hAnsi="Times New Roman" w:cs="Times New Roman"/>
          <w:sz w:val="22"/>
          <w:szCs w:val="22"/>
          <w:lang w:val="ro-RO"/>
        </w:rPr>
        <w:t>“</w:t>
      </w:r>
      <w:r w:rsidR="00F80300" w:rsidRPr="00DD02F2">
        <w:rPr>
          <w:rFonts w:ascii="Times New Roman" w:hAnsi="Times New Roman" w:cs="Times New Roman"/>
          <w:sz w:val="22"/>
          <w:szCs w:val="22"/>
          <w:lang w:val="de-DE"/>
        </w:rPr>
        <w:t xml:space="preserve">[21] </w:t>
      </w:r>
      <w:r w:rsidRPr="00DD02F2">
        <w:rPr>
          <w:rFonts w:ascii="Times New Roman" w:hAnsi="Times New Roman" w:cs="Times New Roman"/>
          <w:sz w:val="22"/>
          <w:szCs w:val="22"/>
          <w:lang w:val="ro-RO"/>
        </w:rPr>
        <w:t>kategorisiert.</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Der Vorsänger Macarie </w:t>
      </w:r>
      <w:r w:rsidRPr="00DD02F2">
        <w:rPr>
          <w:rFonts w:ascii="Times New Roman" w:hAnsi="Times New Roman" w:cs="Times New Roman"/>
          <w:sz w:val="22"/>
          <w:szCs w:val="22"/>
          <w:lang w:val="ro-RO"/>
        </w:rPr>
        <w:t>„bringt hemmungslos seine schöpferische Persönlichkeit zum Vorschein, indem er die übernommenen Gesänge verändert“</w:t>
      </w:r>
      <w:r w:rsidR="00F80300" w:rsidRPr="00DD02F2">
        <w:rPr>
          <w:rFonts w:ascii="Times New Roman" w:hAnsi="Times New Roman" w:cs="Times New Roman"/>
          <w:sz w:val="22"/>
          <w:szCs w:val="22"/>
          <w:lang w:val="de-DE"/>
        </w:rPr>
        <w:t xml:space="preserve">[22] </w:t>
      </w:r>
      <w:r w:rsidRPr="00DD02F2">
        <w:rPr>
          <w:rFonts w:ascii="Times New Roman" w:hAnsi="Times New Roman" w:cs="Times New Roman"/>
          <w:sz w:val="22"/>
          <w:szCs w:val="22"/>
        </w:rPr>
        <w:t xml:space="preserve"> und das einheimische Repertoir des Kirchengesanges um eine Reihe von musikalischen Stücken unschätzbarer Schönheit bereichert, in einem Wort ist seine ganze musikalische Schöpfung von seiner einzigartigen Originalität geprägt. </w:t>
      </w:r>
      <w:r w:rsidRPr="00DD02F2">
        <w:rPr>
          <w:rFonts w:ascii="Times New Roman" w:hAnsi="Times New Roman" w:cs="Times New Roman"/>
          <w:sz w:val="22"/>
          <w:szCs w:val="22"/>
          <w:lang w:val="ro-RO"/>
        </w:rPr>
        <w:t xml:space="preserve">„Sein </w:t>
      </w:r>
      <w:r w:rsidRPr="00DD02F2">
        <w:rPr>
          <w:rFonts w:ascii="Times New Roman" w:hAnsi="Times New Roman" w:cs="Times New Roman"/>
          <w:sz w:val="22"/>
          <w:szCs w:val="22"/>
        </w:rPr>
        <w:t>Talent besteht vor allem in den Kirchenmelodien zu den Festtagen</w:t>
      </w:r>
      <w:r w:rsidRPr="00DD02F2">
        <w:rPr>
          <w:rFonts w:ascii="Times New Roman" w:hAnsi="Times New Roman" w:cs="Times New Roman"/>
          <w:sz w:val="22"/>
          <w:szCs w:val="22"/>
          <w:lang w:val="ro-RO"/>
        </w:rPr>
        <w:t>“</w:t>
      </w:r>
      <w:r w:rsidR="00F80300" w:rsidRPr="00DD02F2">
        <w:rPr>
          <w:rFonts w:ascii="Times New Roman" w:hAnsi="Times New Roman" w:cs="Times New Roman"/>
          <w:sz w:val="22"/>
          <w:szCs w:val="22"/>
          <w:lang w:val="de-DE"/>
        </w:rPr>
        <w:t xml:space="preserve">[23] </w:t>
      </w:r>
      <w:r w:rsidRPr="00DD02F2">
        <w:rPr>
          <w:rFonts w:ascii="Times New Roman" w:hAnsi="Times New Roman" w:cs="Times New Roman"/>
          <w:sz w:val="22"/>
          <w:szCs w:val="22"/>
        </w:rPr>
        <w:t xml:space="preserve">und nicht nur. Diesem Gedanken folgend ist Pfarrer Nicu Moldoveanus Bemerkung  hinsichtlich der Kirchenmelodien treffend: </w:t>
      </w:r>
      <w:r w:rsidRPr="00DD02F2">
        <w:rPr>
          <w:rFonts w:ascii="Times New Roman" w:hAnsi="Times New Roman" w:cs="Times New Roman"/>
          <w:sz w:val="22"/>
          <w:szCs w:val="22"/>
          <w:lang w:val="ro-RO"/>
        </w:rPr>
        <w:t>„die gelungensten Kompositionen des geschickten Lehrers sind Stücke seltener melodischen Schönheit, die auch noch heute vollkommen unverändert gesungen werden“.</w:t>
      </w:r>
      <w:r w:rsidR="00F80300" w:rsidRPr="00DD02F2">
        <w:rPr>
          <w:rFonts w:ascii="Times New Roman" w:hAnsi="Times New Roman" w:cs="Times New Roman"/>
          <w:sz w:val="22"/>
          <w:szCs w:val="22"/>
          <w:lang w:val="de-DE"/>
        </w:rPr>
        <w:t>[24]</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Unter den repräsentativsten Kirchenmelodien aus der Schöpfung des Ordenspriesters erwähnen wir: </w:t>
      </w:r>
      <w:r w:rsidRPr="00DD02F2">
        <w:rPr>
          <w:rFonts w:ascii="Times New Roman" w:hAnsi="Times New Roman" w:cs="Times New Roman"/>
          <w:sz w:val="22"/>
          <w:szCs w:val="22"/>
          <w:lang w:val="ro-RO"/>
        </w:rPr>
        <w:t>„Lobgesang</w:t>
      </w:r>
      <w:r w:rsidRPr="00DD02F2">
        <w:rPr>
          <w:rFonts w:ascii="Times New Roman" w:hAnsi="Times New Roman" w:cs="Times New Roman"/>
          <w:sz w:val="22"/>
          <w:szCs w:val="22"/>
        </w:rPr>
        <w:t xml:space="preserve"> auf Jesu Auferstehung</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 xml:space="preserve">, </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Lobgesang zum Jesu Empfang</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 xml:space="preserve">, </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Lobgesang auf Jesu Geburt</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 xml:space="preserve"> usw. Und im Folgenden werden wir einige technische, fachspezifische Aspekte behandeln.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lang w:val="ro-RO"/>
        </w:rPr>
        <w:t>„</w:t>
      </w:r>
      <w:r w:rsidRPr="00DD02F2">
        <w:rPr>
          <w:rFonts w:ascii="Times New Roman" w:hAnsi="Times New Roman" w:cs="Times New Roman"/>
          <w:sz w:val="22"/>
          <w:szCs w:val="22"/>
        </w:rPr>
        <w:t>Lobgesang auf Jesu Auferstehung</w:t>
      </w:r>
      <w:r w:rsidRPr="00DD02F2">
        <w:rPr>
          <w:rFonts w:ascii="Times New Roman" w:hAnsi="Times New Roman" w:cs="Times New Roman"/>
          <w:sz w:val="22"/>
          <w:szCs w:val="22"/>
          <w:lang w:val="ro-RO"/>
        </w:rPr>
        <w:t>“</w:t>
      </w:r>
      <w:r w:rsidR="00F80300" w:rsidRPr="00DD02F2">
        <w:rPr>
          <w:rFonts w:ascii="Times New Roman" w:hAnsi="Times New Roman" w:cs="Times New Roman"/>
          <w:sz w:val="22"/>
          <w:szCs w:val="22"/>
          <w:lang w:val="de-DE"/>
        </w:rPr>
        <w:t>[25]</w:t>
      </w:r>
      <w:r w:rsidRPr="00DD02F2">
        <w:rPr>
          <w:rFonts w:ascii="Times New Roman" w:hAnsi="Times New Roman" w:cs="Times New Roman"/>
          <w:sz w:val="22"/>
          <w:szCs w:val="22"/>
          <w:lang w:val="ro-RO"/>
        </w:rPr>
        <w:t>, von einer einzigartigen Komplexität</w:t>
      </w:r>
      <w:r w:rsidRPr="00DD02F2">
        <w:rPr>
          <w:rFonts w:ascii="Times New Roman" w:hAnsi="Times New Roman" w:cs="Times New Roman"/>
          <w:sz w:val="22"/>
          <w:szCs w:val="22"/>
        </w:rPr>
        <w:t xml:space="preserve"> mit häufigen Modulationen</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 xml:space="preserve"> stellt das Meisterstück der Schöpfung Macaries, so wie die progressive Entwicklung des melodischen Diskurses dar. Strukturmäßig ist das Meisterwerk im kirchenhymnischen Stil des I. Tones entstanden und wird vor allem für solistische Interpretation gedacht. Im repräsentativsten und meistverbreiteten Interpretationsstil der bysantinischen Musikkunst konzipiert, verwendet es auf diastematischer Ebene variierende intervalische Folgen kombiniert mit Sexten- Septimen- und sogar Oktavensprüngen. Der Umfang des Gesanges reicht von </w:t>
      </w:r>
      <w:r w:rsidRPr="00DD02F2">
        <w:rPr>
          <w:rFonts w:ascii="Times New Roman" w:hAnsi="Times New Roman" w:cs="Times New Roman"/>
          <w:i/>
          <w:iCs/>
          <w:sz w:val="22"/>
          <w:szCs w:val="22"/>
        </w:rPr>
        <w:t xml:space="preserve">si </w:t>
      </w:r>
      <w:r w:rsidRPr="00DD02F2">
        <w:rPr>
          <w:rFonts w:ascii="Times New Roman" w:hAnsi="Times New Roman" w:cs="Times New Roman"/>
          <w:i/>
          <w:iCs/>
          <w:sz w:val="22"/>
          <w:szCs w:val="22"/>
          <w:lang w:val="ro-RO"/>
        </w:rPr>
        <w:t>natural bis hin zu mi</w:t>
      </w:r>
      <w:r w:rsidRPr="00DD02F2">
        <w:rPr>
          <w:rFonts w:ascii="Times New Roman" w:hAnsi="Times New Roman" w:cs="Times New Roman"/>
          <w:i/>
          <w:iCs/>
          <w:sz w:val="22"/>
          <w:szCs w:val="22"/>
        </w:rPr>
        <w:t xml:space="preserve"> natural</w:t>
      </w:r>
      <w:r w:rsidRPr="00DD02F2">
        <w:rPr>
          <w:rFonts w:ascii="Times New Roman" w:hAnsi="Times New Roman" w:cs="Times New Roman"/>
          <w:sz w:val="22"/>
          <w:szCs w:val="22"/>
        </w:rPr>
        <w:t xml:space="preserve">, sowie </w:t>
      </w:r>
      <w:r w:rsidRPr="00DD02F2">
        <w:rPr>
          <w:rFonts w:ascii="Times New Roman" w:hAnsi="Times New Roman" w:cs="Times New Roman"/>
          <w:i/>
          <w:sz w:val="22"/>
          <w:szCs w:val="22"/>
        </w:rPr>
        <w:t xml:space="preserve">einem </w:t>
      </w:r>
      <w:r w:rsidRPr="00DD02F2">
        <w:rPr>
          <w:rFonts w:ascii="Times New Roman" w:hAnsi="Times New Roman" w:cs="Times New Roman"/>
          <w:i/>
          <w:sz w:val="22"/>
          <w:szCs w:val="22"/>
        </w:rPr>
        <w:lastRenderedPageBreak/>
        <w:t>kleinen Zehnten</w:t>
      </w:r>
      <w:r w:rsidRPr="00DD02F2">
        <w:rPr>
          <w:rFonts w:ascii="Times New Roman" w:hAnsi="Times New Roman" w:cs="Times New Roman"/>
          <w:sz w:val="22"/>
          <w:szCs w:val="22"/>
        </w:rPr>
        <w:t xml:space="preserve">.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Am Beginn des Werkes bemerkt man einige melodische Phrasen variierender Extension. Wir kennen schon die reich verzierte Rhythmik, den kirchenhymnischen Stil des I. Tones, den Sextensprung vom Grund des Tones, die Zurücklegung der ganzen melodischen Skala der Tonart.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Der zentrale Teil des Werkes ist einer unbeschreibbaren melodischer Schönheit. Die Spezifizität der erwähnten Phrasen besteht in der Anwendung einiger variierenden melodischen Tonfälle, Kantilenenlinien, Phrasenmodulationen, sowie einer reichen Verzierung des melodischen Diskurses durch die Menge der verwendeten Appoggiaturen.  Man lernt zwei melodische intervalische Sprünge kennen: den Septimen- und den Oktavensprung, sowie den </w:t>
      </w:r>
      <w:r w:rsidRPr="00DD02F2">
        <w:rPr>
          <w:rFonts w:ascii="Times New Roman" w:hAnsi="Times New Roman" w:cs="Times New Roman"/>
          <w:i/>
          <w:iCs/>
          <w:sz w:val="22"/>
          <w:szCs w:val="22"/>
        </w:rPr>
        <w:t>si natural</w:t>
      </w:r>
      <w:r w:rsidRPr="00DD02F2">
        <w:rPr>
          <w:rFonts w:ascii="Times New Roman" w:hAnsi="Times New Roman" w:cs="Times New Roman"/>
          <w:sz w:val="22"/>
          <w:szCs w:val="22"/>
        </w:rPr>
        <w:t xml:space="preserve"> zum Nachteil des bemol vom Schlüssel. Der letzte Teil des Werkes bewahrt die kirchenhymnische Anfangsatmosphäre des I. Tones konkretisiert durch die überwiegende Anwendung des </w:t>
      </w:r>
      <w:r w:rsidRPr="00DD02F2">
        <w:rPr>
          <w:rFonts w:ascii="Times New Roman" w:hAnsi="Times New Roman" w:cs="Times New Roman"/>
          <w:i/>
          <w:iCs/>
          <w:sz w:val="22"/>
          <w:szCs w:val="22"/>
        </w:rPr>
        <w:t xml:space="preserve">si bemol, </w:t>
      </w:r>
      <w:r w:rsidRPr="00DD02F2">
        <w:rPr>
          <w:rFonts w:ascii="Times New Roman" w:hAnsi="Times New Roman" w:cs="Times New Roman"/>
          <w:iCs/>
          <w:sz w:val="22"/>
          <w:szCs w:val="22"/>
        </w:rPr>
        <w:t>sowie</w:t>
      </w:r>
      <w:r w:rsidRPr="00DD02F2">
        <w:rPr>
          <w:rFonts w:ascii="Times New Roman" w:hAnsi="Times New Roman" w:cs="Times New Roman"/>
          <w:i/>
          <w:iCs/>
          <w:sz w:val="22"/>
          <w:szCs w:val="22"/>
        </w:rPr>
        <w:t xml:space="preserve"> </w:t>
      </w:r>
      <w:r w:rsidRPr="00DD02F2">
        <w:rPr>
          <w:rFonts w:ascii="Times New Roman" w:hAnsi="Times New Roman" w:cs="Times New Roman"/>
          <w:sz w:val="22"/>
          <w:szCs w:val="22"/>
        </w:rPr>
        <w:t xml:space="preserve">der spezifischen Kadenzen: </w:t>
      </w:r>
      <w:r w:rsidRPr="00DD02F2">
        <w:rPr>
          <w:rFonts w:ascii="Times New Roman" w:hAnsi="Times New Roman" w:cs="Times New Roman"/>
          <w:i/>
          <w:iCs/>
          <w:sz w:val="22"/>
          <w:szCs w:val="22"/>
        </w:rPr>
        <w:t>re, sol, la</w:t>
      </w:r>
      <w:r w:rsidRPr="00DD02F2">
        <w:rPr>
          <w:rFonts w:ascii="Times New Roman" w:hAnsi="Times New Roman" w:cs="Times New Roman"/>
          <w:sz w:val="22"/>
          <w:szCs w:val="22"/>
        </w:rPr>
        <w:t xml:space="preserve">. Ebenda merkt man den </w:t>
      </w:r>
      <w:r w:rsidRPr="00DD02F2">
        <w:rPr>
          <w:rFonts w:ascii="Times New Roman" w:hAnsi="Times New Roman" w:cs="Times New Roman"/>
          <w:i/>
          <w:sz w:val="22"/>
          <w:szCs w:val="22"/>
        </w:rPr>
        <w:t>Emfasis</w:t>
      </w:r>
      <w:r w:rsidRPr="00DD02F2">
        <w:rPr>
          <w:rFonts w:ascii="Times New Roman" w:eastAsia="MS PMincho" w:hAnsi="Times New Roman" w:cs="Times New Roman"/>
          <w:sz w:val="22"/>
          <w:szCs w:val="22"/>
        </w:rPr>
        <w:t>/</w:t>
      </w:r>
      <w:r w:rsidRPr="00DD02F2">
        <w:rPr>
          <w:rFonts w:ascii="Times New Roman" w:hAnsi="Times New Roman" w:cs="Times New Roman"/>
          <w:sz w:val="22"/>
          <w:szCs w:val="22"/>
        </w:rPr>
        <w:t xml:space="preserve">Akzent </w:t>
      </w:r>
      <w:r w:rsidRPr="00DD02F2">
        <w:rPr>
          <w:rFonts w:ascii="Times New Roman" w:hAnsi="Times New Roman" w:cs="Times New Roman"/>
          <w:i/>
          <w:iCs/>
          <w:sz w:val="22"/>
          <w:szCs w:val="22"/>
        </w:rPr>
        <w:t>(mi natural)</w:t>
      </w:r>
      <w:r w:rsidRPr="00DD02F2">
        <w:rPr>
          <w:rFonts w:ascii="Times New Roman" w:hAnsi="Times New Roman" w:cs="Times New Roman"/>
          <w:sz w:val="22"/>
          <w:szCs w:val="22"/>
        </w:rPr>
        <w:t xml:space="preserve"> des Meisterwerkes. Von diesem Punkt an sinkt der melodische Diskurs mit leicht steigenden Modulationen und geht auf den stabilsten Punkt des Tones zu, undzwar auf die Basis re. Er kadenziert vollkommen durch eine tonspezifische melodische Formel, in der Rhythmus und Melodie eine meisterhafte Symbiose bilden. Das ganze Meisterstück hat einen Rhythmus mit einem silbisch-melismatischen Umriss, indem es die prosodische, kirchliche Struktur harmonievoll mit Akzenten musikalischen Charakters verbindet.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Nicht einmal der Hymnentext scheint weniger wertvoll als der einzigartige rhythmisch-melodische Lobgesang, da er der ganzen Menschheit Jesu Christi Auferstehung, des Sohns Gottes, aus dem Tode verkündet. Diese neue </w:t>
      </w:r>
      <w:r w:rsidRPr="00DD02F2">
        <w:rPr>
          <w:rFonts w:ascii="Times New Roman" w:hAnsi="Times New Roman" w:cs="Times New Roman"/>
          <w:i/>
          <w:sz w:val="22"/>
          <w:szCs w:val="22"/>
        </w:rPr>
        <w:t>Verkündung</w:t>
      </w:r>
      <w:r w:rsidRPr="00DD02F2">
        <w:rPr>
          <w:rFonts w:ascii="Times New Roman" w:hAnsi="Times New Roman" w:cs="Times New Roman"/>
          <w:sz w:val="22"/>
          <w:szCs w:val="22"/>
        </w:rPr>
        <w:t xml:space="preserve"> Mariä stellt den absoluten Triumph des Lebens über dem Tode durch die Erscheinung </w:t>
      </w:r>
      <w:r w:rsidRPr="00DD02F2">
        <w:rPr>
          <w:rFonts w:ascii="Times New Roman" w:hAnsi="Times New Roman" w:cs="Times New Roman"/>
          <w:i/>
          <w:sz w:val="22"/>
          <w:szCs w:val="22"/>
        </w:rPr>
        <w:t>Gottes des Sohns</w:t>
      </w:r>
      <w:r w:rsidRPr="00DD02F2">
        <w:rPr>
          <w:rFonts w:ascii="Times New Roman" w:hAnsi="Times New Roman" w:cs="Times New Roman"/>
          <w:sz w:val="22"/>
          <w:szCs w:val="22"/>
        </w:rPr>
        <w:t xml:space="preserve"> im Leib in der raum-zeitlichen Sphäre, in der göttlich-menschlichen Figur des Erlösers Jesu Christi dar. Der Text des alten Testaments </w:t>
      </w:r>
      <w:r w:rsidRPr="00DD02F2">
        <w:rPr>
          <w:rFonts w:ascii="Times New Roman" w:hAnsi="Times New Roman" w:cs="Times New Roman"/>
          <w:i/>
          <w:iCs/>
          <w:sz w:val="22"/>
          <w:szCs w:val="22"/>
        </w:rPr>
        <w:t>(Zacharias 14, 9)</w:t>
      </w:r>
      <w:r w:rsidRPr="00DD02F2">
        <w:rPr>
          <w:rFonts w:ascii="Times New Roman" w:hAnsi="Times New Roman" w:cs="Times New Roman"/>
          <w:sz w:val="22"/>
          <w:szCs w:val="22"/>
        </w:rPr>
        <w:t xml:space="preserve"> bekommt jetzt neue Valenzen: der ehemalige Jerusalem und Sion tragen jetzt einen echt eschatologischen Stempel, verstärkt im Schluss durch den Lobgesang auf die Freude der Gottesmutter „über die Auferstehung ihres Geborenen.”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Das ganze Meisterwerk Macaries, geschaffen nach den strengen Forderungen der Logik des musikalischen Diskurses, einer großen Komplexität im Tonfall und eines kirchenhymnischen Charakters, kann auch wegen der verwendeten kompositorischen Prinzipien einen Ehrenplatz in der Reihe der Meisterwerke der rumänischen psalmischen Genre einnehmen.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lang w:val="ro-RO"/>
        </w:rPr>
        <w:t>„</w:t>
      </w:r>
      <w:r w:rsidRPr="00DD02F2">
        <w:rPr>
          <w:rFonts w:ascii="Times New Roman" w:hAnsi="Times New Roman" w:cs="Times New Roman"/>
          <w:sz w:val="22"/>
          <w:szCs w:val="22"/>
        </w:rPr>
        <w:t>Lobgesang zum Empfang Gottes</w:t>
      </w:r>
      <w:r w:rsidRPr="00DD02F2">
        <w:rPr>
          <w:rFonts w:ascii="Times New Roman" w:hAnsi="Times New Roman" w:cs="Times New Roman"/>
          <w:sz w:val="22"/>
          <w:szCs w:val="22"/>
          <w:lang w:val="ro-RO"/>
        </w:rPr>
        <w:t>“</w:t>
      </w:r>
      <w:r w:rsidR="00F80300" w:rsidRPr="00DD02F2">
        <w:rPr>
          <w:rFonts w:ascii="Times New Roman" w:hAnsi="Times New Roman" w:cs="Times New Roman"/>
          <w:sz w:val="22"/>
          <w:szCs w:val="22"/>
          <w:lang w:val="de-DE"/>
        </w:rPr>
        <w:t xml:space="preserve">[26] </w:t>
      </w:r>
      <w:r w:rsidRPr="00DD02F2">
        <w:rPr>
          <w:rFonts w:ascii="Times New Roman" w:hAnsi="Times New Roman" w:cs="Times New Roman"/>
          <w:sz w:val="22"/>
          <w:szCs w:val="22"/>
        </w:rPr>
        <w:t xml:space="preserve">gehört zu den neobysantinischen Musikstücke der ersten Hälfte des XIX. Jahrhunderts und kann in die Reihe der großen Meisterwerke des rumänischen Psalmengesanges aufgenommen werden. In diesem merkwürdigen Werk verbindet </w:t>
      </w:r>
      <w:r w:rsidRPr="00DD02F2">
        <w:rPr>
          <w:rFonts w:ascii="Times New Roman" w:hAnsi="Times New Roman" w:cs="Times New Roman"/>
          <w:i/>
          <w:sz w:val="22"/>
          <w:szCs w:val="22"/>
        </w:rPr>
        <w:t>der erste Kirchensänger</w:t>
      </w:r>
      <w:r w:rsidRPr="00DD02F2">
        <w:rPr>
          <w:rFonts w:ascii="Times New Roman" w:hAnsi="Times New Roman" w:cs="Times New Roman"/>
          <w:sz w:val="22"/>
          <w:szCs w:val="22"/>
        </w:rPr>
        <w:t xml:space="preserve"> der Walachei vom Anfang des oben genannten Jahrhunderts zwei bysantinische Präsentationsstile: den kirchenhymnischen und den kirchenmelodischen Stil. In beiden erwähnten Stilen spielen drei Töne die überwiegende Rolle: </w:t>
      </w:r>
      <w:r w:rsidRPr="00DD02F2">
        <w:rPr>
          <w:rFonts w:ascii="Times New Roman" w:hAnsi="Times New Roman" w:cs="Times New Roman"/>
          <w:i/>
          <w:iCs/>
          <w:sz w:val="22"/>
          <w:szCs w:val="22"/>
        </w:rPr>
        <w:t>fa-Hauptbasis; re-Sekundärbasis; la-Dominanz</w:t>
      </w:r>
      <w:r w:rsidRPr="00DD02F2">
        <w:rPr>
          <w:rFonts w:ascii="Times New Roman" w:hAnsi="Times New Roman" w:cs="Times New Roman"/>
          <w:sz w:val="22"/>
          <w:szCs w:val="22"/>
        </w:rPr>
        <w:t xml:space="preserve">. Die </w:t>
      </w:r>
      <w:r w:rsidRPr="00DD02F2">
        <w:rPr>
          <w:rFonts w:ascii="Times New Roman" w:hAnsi="Times New Roman" w:cs="Times New Roman"/>
          <w:iCs/>
          <w:sz w:val="22"/>
          <w:szCs w:val="22"/>
        </w:rPr>
        <w:t>Sekundärbasis</w:t>
      </w:r>
      <w:r w:rsidRPr="00DD02F2">
        <w:rPr>
          <w:rFonts w:ascii="Times New Roman" w:hAnsi="Times New Roman" w:cs="Times New Roman"/>
          <w:sz w:val="22"/>
          <w:szCs w:val="22"/>
        </w:rPr>
        <w:t xml:space="preserve"> - re kommt vom V. enharmonischen Ton.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Das Werk kann in zwei verschiedene Teile getrennt werden: der erste Teil ist kirchenhymnisch, während der zweite kirchenmelodisch. Der erste Teil läuft im enharmonischen III. Ton, auf einer hellen, ausdrucksvollen und heiteren Basis (spezifisch für den kirchenhymnischen Gesang), in einem der Andante aus der klassischen Musik nahen Charakter  ab, während die ziemlich häufige Verwendung der Triole verleiht ihm in den Händen des großen Kirchensänger-Komponisten zusätzliche Ausdrucksfülle. Die Melodik des kirchenhymnischen Teils kreist mit den zwei melodischen Phrasen um die Hauptbasis-fa, die auch als Begleitstimme dienen kann. Beide Kadenzen dieses Teiles fallen auf die Basis des Tons (fa).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Im zweiten Teil des erwähnten Tons sind die melodischen Phrasen bündig, sie laufen in einer regen Bewegung  (</w:t>
      </w:r>
      <w:r w:rsidRPr="00DD02F2">
        <w:rPr>
          <w:rFonts w:ascii="Times New Roman" w:hAnsi="Times New Roman" w:cs="Times New Roman"/>
          <w:sz w:val="22"/>
          <w:szCs w:val="22"/>
          <w:lang w:val="ro-RO"/>
        </w:rPr>
        <w:t>cvasî-allegretto</w:t>
      </w:r>
      <w:r w:rsidRPr="00DD02F2">
        <w:rPr>
          <w:rFonts w:ascii="Times New Roman" w:hAnsi="Times New Roman" w:cs="Times New Roman"/>
          <w:sz w:val="22"/>
          <w:szCs w:val="22"/>
        </w:rPr>
        <w:t xml:space="preserve">) ab.  Die inneren Kadenzen fallen überwiegend auf die Sekundärbasis des Tones-re, während die letzte wieder auf die Grundbasis </w:t>
      </w:r>
      <w:r w:rsidRPr="00DD02F2">
        <w:rPr>
          <w:rFonts w:ascii="Times New Roman" w:hAnsi="Times New Roman" w:cs="Times New Roman"/>
          <w:i/>
          <w:iCs/>
          <w:sz w:val="22"/>
          <w:szCs w:val="22"/>
        </w:rPr>
        <w:t xml:space="preserve">(fa) </w:t>
      </w:r>
      <w:r w:rsidRPr="00DD02F2">
        <w:rPr>
          <w:rFonts w:ascii="Times New Roman" w:hAnsi="Times New Roman" w:cs="Times New Roman"/>
          <w:iCs/>
          <w:sz w:val="22"/>
          <w:szCs w:val="22"/>
        </w:rPr>
        <w:t>fällt</w:t>
      </w:r>
      <w:r w:rsidRPr="00DD02F2">
        <w:rPr>
          <w:rFonts w:ascii="Times New Roman" w:hAnsi="Times New Roman" w:cs="Times New Roman"/>
          <w:sz w:val="22"/>
          <w:szCs w:val="22"/>
        </w:rPr>
        <w:t xml:space="preserve">. Das Werk kann in sieben melodische Phrasen unterteilt werden, eine Eigentümlichkeit der dritten und fünften Phrase ist ihre Modulation im V. kirchenmelodischen Ton.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Der von Macarie im kirchenhymnischen Teil des Lobgesanges verwendete Hymnentext stellt uns die „Mutter Gottes“als Behüterin der Menschheit vor, was sich in den drei Verben materialisiert: </w:t>
      </w:r>
      <w:r w:rsidRPr="00DD02F2">
        <w:rPr>
          <w:rFonts w:ascii="Times New Roman" w:hAnsi="Times New Roman" w:cs="Times New Roman"/>
          <w:i/>
          <w:sz w:val="22"/>
          <w:szCs w:val="22"/>
        </w:rPr>
        <w:t>bedeckt, beschützt, behütet</w:t>
      </w:r>
      <w:r w:rsidRPr="00DD02F2">
        <w:rPr>
          <w:rFonts w:ascii="Times New Roman" w:hAnsi="Times New Roman" w:cs="Times New Roman"/>
          <w:sz w:val="22"/>
          <w:szCs w:val="22"/>
        </w:rPr>
        <w:t>. Das Benehmen als Behüterin wird von der unwiderruflichen Hoffnung aller bedingt, die „nach ihr streben”. Im kirchenmelodischen Teil versetzt uns der Hymnenschreiber unter Kenntnis des messianischen Textes (Isaac 7, 14)  in die Zeit der großen Profeten aus dem alten Testament und beweist uns, dass der Erstgeborene männerseits „</w:t>
      </w:r>
      <w:r w:rsidRPr="00DD02F2">
        <w:rPr>
          <w:rFonts w:ascii="Times New Roman" w:hAnsi="Times New Roman" w:cs="Times New Roman"/>
          <w:sz w:val="22"/>
          <w:szCs w:val="22"/>
          <w:lang w:val="de-AT"/>
        </w:rPr>
        <w:t xml:space="preserve">heilig für </w:t>
      </w:r>
      <w:r w:rsidRPr="00DD02F2">
        <w:rPr>
          <w:rFonts w:ascii="Times New Roman" w:hAnsi="Times New Roman" w:cs="Times New Roman"/>
          <w:sz w:val="22"/>
          <w:szCs w:val="22"/>
        </w:rPr>
        <w:t xml:space="preserve">Gott sei”. Derselbe </w:t>
      </w:r>
      <w:r w:rsidRPr="00DD02F2">
        <w:rPr>
          <w:rFonts w:ascii="Times New Roman" w:hAnsi="Times New Roman" w:cs="Times New Roman"/>
          <w:sz w:val="22"/>
          <w:szCs w:val="22"/>
        </w:rPr>
        <w:lastRenderedPageBreak/>
        <w:t xml:space="preserve">Hymnenschreiber macht von einem anderen biblischen Text Anwendung (Lukas 1, 35) und betont die Zeitlosigkeit und Ewigkeit „Gottes Sohns”(Das Wort), von </w:t>
      </w:r>
      <w:r w:rsidRPr="00DD02F2">
        <w:rPr>
          <w:rFonts w:ascii="Times New Roman" w:hAnsi="Times New Roman" w:cs="Times New Roman"/>
          <w:sz w:val="22"/>
          <w:szCs w:val="22"/>
          <w:lang w:val="ro-RO"/>
        </w:rPr>
        <w:t xml:space="preserve">„einer </w:t>
      </w:r>
      <w:r w:rsidRPr="00DD02F2">
        <w:rPr>
          <w:rFonts w:ascii="Times New Roman" w:hAnsi="Times New Roman" w:cs="Times New Roman"/>
          <w:sz w:val="22"/>
          <w:szCs w:val="22"/>
        </w:rPr>
        <w:t xml:space="preserve">Mutter” </w:t>
      </w:r>
      <w:r w:rsidRPr="00DD02F2">
        <w:rPr>
          <w:rFonts w:ascii="Times New Roman" w:hAnsi="Times New Roman" w:cs="Times New Roman"/>
          <w:sz w:val="22"/>
          <w:szCs w:val="22"/>
          <w:lang w:val="ro-RO"/>
        </w:rPr>
        <w:t>geboren</w:t>
      </w:r>
      <w:r w:rsidRPr="00DD02F2">
        <w:rPr>
          <w:rFonts w:ascii="Times New Roman" w:hAnsi="Times New Roman" w:cs="Times New Roman"/>
          <w:sz w:val="22"/>
          <w:szCs w:val="22"/>
        </w:rPr>
        <w:t xml:space="preserve"> „die keinen Mann kennt</w:t>
      </w:r>
      <w:r w:rsidRPr="00DD02F2">
        <w:rPr>
          <w:rFonts w:ascii="Times New Roman" w:hAnsi="Times New Roman" w:cs="Times New Roman"/>
          <w:sz w:val="22"/>
          <w:szCs w:val="22"/>
          <w:lang w:val="ro-RO"/>
        </w:rPr>
        <w:t>“ (verleiblicht).</w:t>
      </w:r>
      <w:r w:rsidRPr="00DD02F2">
        <w:rPr>
          <w:rFonts w:ascii="Times New Roman" w:hAnsi="Times New Roman" w:cs="Times New Roman"/>
          <w:sz w:val="22"/>
          <w:szCs w:val="22"/>
        </w:rPr>
        <w:t xml:space="preserve">  Das stellt das übermenschliche Geheimnis dar, da die Geburt (Verleiblichung) des Logos in einer übernatürlichen Weise vorging, da Sie </w:t>
      </w:r>
      <w:r w:rsidRPr="00DD02F2">
        <w:rPr>
          <w:rFonts w:ascii="Times New Roman" w:hAnsi="Times New Roman" w:cs="Times New Roman"/>
          <w:i/>
          <w:sz w:val="22"/>
          <w:szCs w:val="22"/>
        </w:rPr>
        <w:t>vor, während und nach dem Entbinden</w:t>
      </w:r>
      <w:r w:rsidRPr="00DD02F2">
        <w:rPr>
          <w:rFonts w:ascii="Times New Roman" w:hAnsi="Times New Roman" w:cs="Times New Roman"/>
          <w:sz w:val="22"/>
          <w:szCs w:val="22"/>
        </w:rPr>
        <w:t xml:space="preserve"> Jungfrau geblieben ist. (Ezechiel 44, 1-3), weshalb sie auch „Mutter Gottes”, ehrlicher als die Keruben, Seraphen und die Engelscharen genannt wird. Der Lobgesang endet mit einer dem Sohn Gottes gewidmeten Doxologie.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Das ganze Musikstück verwertet den echten Komponistentalent des </w:t>
      </w:r>
      <w:r w:rsidRPr="00DD02F2">
        <w:rPr>
          <w:rFonts w:ascii="Times New Roman" w:hAnsi="Times New Roman" w:cs="Times New Roman"/>
          <w:sz w:val="22"/>
          <w:szCs w:val="22"/>
          <w:lang w:val="ro-RO"/>
        </w:rPr>
        <w:t>Ordenspriesters</w:t>
      </w:r>
      <w:r w:rsidRPr="00DD02F2">
        <w:rPr>
          <w:rFonts w:ascii="Times New Roman" w:hAnsi="Times New Roman" w:cs="Times New Roman"/>
          <w:sz w:val="22"/>
          <w:szCs w:val="22"/>
        </w:rPr>
        <w:t xml:space="preserve"> Macarie auf dem Gebiet der rumänischen Kirchenmusik, es ist mehr als eine einfache Aufzählung der traditionellen psaltischen Formeln, - wie es bis zu ihm bekannt war – und bietet den Nachfolgern ein unsterbliches Werk.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Durch den </w:t>
      </w:r>
      <w:r w:rsidRPr="00DD02F2">
        <w:rPr>
          <w:rFonts w:ascii="Times New Roman" w:hAnsi="Times New Roman" w:cs="Times New Roman"/>
          <w:sz w:val="22"/>
          <w:szCs w:val="22"/>
          <w:lang w:val="ro-RO"/>
        </w:rPr>
        <w:t>„</w:t>
      </w:r>
      <w:r w:rsidRPr="00DD02F2">
        <w:rPr>
          <w:rFonts w:ascii="Times New Roman" w:hAnsi="Times New Roman" w:cs="Times New Roman"/>
          <w:sz w:val="22"/>
          <w:szCs w:val="22"/>
        </w:rPr>
        <w:t>Lobgesang auf die Geburt des Herrn</w:t>
      </w:r>
      <w:r w:rsidRPr="00DD02F2">
        <w:rPr>
          <w:rFonts w:ascii="Times New Roman" w:hAnsi="Times New Roman" w:cs="Times New Roman"/>
          <w:sz w:val="22"/>
          <w:szCs w:val="22"/>
          <w:lang w:val="ro-RO"/>
        </w:rPr>
        <w:t>“</w:t>
      </w:r>
      <w:r w:rsidR="00F80300" w:rsidRPr="00DD02F2">
        <w:rPr>
          <w:rFonts w:ascii="Times New Roman" w:hAnsi="Times New Roman" w:cs="Times New Roman"/>
          <w:sz w:val="22"/>
          <w:szCs w:val="22"/>
          <w:lang w:val="de-DE"/>
        </w:rPr>
        <w:t>[27]</w:t>
      </w:r>
      <w:r w:rsidRPr="00DD02F2">
        <w:rPr>
          <w:rFonts w:ascii="Times New Roman" w:hAnsi="Times New Roman" w:cs="Times New Roman"/>
          <w:sz w:val="22"/>
          <w:szCs w:val="22"/>
        </w:rPr>
        <w:t xml:space="preserve">, behält der </w:t>
      </w:r>
      <w:r w:rsidRPr="00DD02F2">
        <w:rPr>
          <w:rFonts w:ascii="Times New Roman" w:hAnsi="Times New Roman" w:cs="Times New Roman"/>
          <w:sz w:val="22"/>
          <w:szCs w:val="22"/>
          <w:lang w:val="ro-RO"/>
        </w:rPr>
        <w:t>Ordenspriester</w:t>
      </w:r>
      <w:r w:rsidRPr="00DD02F2">
        <w:rPr>
          <w:rFonts w:ascii="Times New Roman" w:hAnsi="Times New Roman" w:cs="Times New Roman"/>
          <w:sz w:val="22"/>
          <w:szCs w:val="22"/>
        </w:rPr>
        <w:t xml:space="preserve"> den kirchenhymnischen Stil, von Fachleuten als von großer Verinnerlichung betrachtet, und bietet auch durch dieses merkwürdige Werk andere, bisher ungetroffene, in einer ruhigen, stillen Ausdrucksweise konkretisierte Valenzen mit steigenden und sinkenden Modulationen.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Vorliegendes Werk könnte in einige melodische Phrasen unterteilt werden, jede von ihnen mit einer Spezifizität für die Zusammenstellung dieser Arbeit. In den Anfangsphasen debütiert der melodische Diskurs durch einen Quartesprung vom Grundlaut des Tones - </w:t>
      </w:r>
      <w:r w:rsidRPr="00DD02F2">
        <w:rPr>
          <w:rFonts w:ascii="Times New Roman" w:hAnsi="Times New Roman" w:cs="Times New Roman"/>
          <w:i/>
          <w:iCs/>
          <w:sz w:val="22"/>
          <w:szCs w:val="22"/>
        </w:rPr>
        <w:t>re</w:t>
      </w:r>
      <w:r w:rsidRPr="00DD02F2">
        <w:rPr>
          <w:rFonts w:ascii="Times New Roman" w:hAnsi="Times New Roman" w:cs="Times New Roman"/>
          <w:sz w:val="22"/>
          <w:szCs w:val="22"/>
        </w:rPr>
        <w:t xml:space="preserve"> und kommt zur zweiten Dominante des Tones- </w:t>
      </w:r>
      <w:r w:rsidRPr="00DD02F2">
        <w:rPr>
          <w:rFonts w:ascii="Times New Roman" w:hAnsi="Times New Roman" w:cs="Times New Roman"/>
          <w:i/>
          <w:iCs/>
          <w:sz w:val="22"/>
          <w:szCs w:val="22"/>
        </w:rPr>
        <w:t>sol</w:t>
      </w:r>
      <w:r w:rsidRPr="00DD02F2">
        <w:rPr>
          <w:rFonts w:ascii="Times New Roman" w:hAnsi="Times New Roman" w:cs="Times New Roman"/>
          <w:sz w:val="22"/>
          <w:szCs w:val="22"/>
        </w:rPr>
        <w:t xml:space="preserve">. Die Mehrheit der melodischen Phrasen kreist um diesen Laut und ordnet sich mit all ihren Verzierungen und leicht steigenden und sinkenden Modulationen in die Quarte </w:t>
      </w:r>
      <w:r w:rsidRPr="00DD02F2">
        <w:rPr>
          <w:rFonts w:ascii="Times New Roman" w:hAnsi="Times New Roman" w:cs="Times New Roman"/>
          <w:i/>
          <w:iCs/>
          <w:sz w:val="22"/>
          <w:szCs w:val="22"/>
        </w:rPr>
        <w:t>mi</w:t>
      </w:r>
      <w:r w:rsidRPr="00DD02F2">
        <w:rPr>
          <w:rFonts w:ascii="Times New Roman" w:hAnsi="Times New Roman" w:cs="Times New Roman"/>
          <w:sz w:val="22"/>
          <w:szCs w:val="22"/>
        </w:rPr>
        <w:t xml:space="preserve"> - </w:t>
      </w:r>
      <w:r w:rsidRPr="00DD02F2">
        <w:rPr>
          <w:rFonts w:ascii="Times New Roman" w:hAnsi="Times New Roman" w:cs="Times New Roman"/>
          <w:i/>
          <w:iCs/>
          <w:sz w:val="22"/>
          <w:szCs w:val="22"/>
        </w:rPr>
        <w:t>la</w:t>
      </w:r>
      <w:r w:rsidRPr="00DD02F2">
        <w:rPr>
          <w:rFonts w:ascii="Times New Roman" w:hAnsi="Times New Roman" w:cs="Times New Roman"/>
          <w:sz w:val="22"/>
          <w:szCs w:val="22"/>
        </w:rPr>
        <w:t xml:space="preserve">.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Weiterhin konturiert sich ein melodischer Bogen, – auf lautlicher Ebene prägend – der sich durch ein Crescendo der melodischen Konfiguration konkretisiert, indem er den Spitzenlaut </w:t>
      </w:r>
      <w:r w:rsidRPr="00DD02F2">
        <w:rPr>
          <w:rFonts w:ascii="Times New Roman" w:hAnsi="Times New Roman" w:cs="Times New Roman"/>
          <w:i/>
          <w:iCs/>
          <w:sz w:val="22"/>
          <w:szCs w:val="22"/>
        </w:rPr>
        <w:t>(emfasis)</w:t>
      </w:r>
      <w:r w:rsidRPr="00DD02F2">
        <w:rPr>
          <w:rFonts w:ascii="Times New Roman" w:hAnsi="Times New Roman" w:cs="Times New Roman"/>
          <w:sz w:val="22"/>
          <w:szCs w:val="22"/>
        </w:rPr>
        <w:t xml:space="preserve"> des ganzen Gesanges erreicht.  So hat sich bis zu diesem melodischen Punkt eine reale Anabasis verzeichnet, gefolgt von einer natürlichen Entspannung des melodischen Fadens, auch  Katabasis genannt. Durch ihren reich melismatischen Faden kadenzieren die nächsten Phrasen vorwiegend auf den Grundton.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Im mittleren Teil des Werkes ist man Zeuge eines steigenden Aublaufes bis zur Quinte </w:t>
      </w:r>
      <w:r w:rsidRPr="00DD02F2">
        <w:rPr>
          <w:rFonts w:ascii="Times New Roman" w:hAnsi="Times New Roman" w:cs="Times New Roman"/>
          <w:i/>
          <w:iCs/>
          <w:sz w:val="22"/>
          <w:szCs w:val="22"/>
        </w:rPr>
        <w:t>(la)</w:t>
      </w:r>
      <w:r w:rsidRPr="00DD02F2">
        <w:rPr>
          <w:rFonts w:ascii="Times New Roman" w:hAnsi="Times New Roman" w:cs="Times New Roman"/>
          <w:sz w:val="22"/>
          <w:szCs w:val="22"/>
        </w:rPr>
        <w:t xml:space="preserve"> und eines sinkenden Ablaufes bis zur Quarte </w:t>
      </w:r>
      <w:r w:rsidRPr="00DD02F2">
        <w:rPr>
          <w:rFonts w:ascii="Times New Roman" w:hAnsi="Times New Roman" w:cs="Times New Roman"/>
          <w:i/>
          <w:iCs/>
          <w:sz w:val="22"/>
          <w:szCs w:val="22"/>
        </w:rPr>
        <w:t>(la - tief)</w:t>
      </w:r>
      <w:r w:rsidRPr="00DD02F2">
        <w:rPr>
          <w:rFonts w:ascii="Times New Roman" w:hAnsi="Times New Roman" w:cs="Times New Roman"/>
          <w:sz w:val="22"/>
          <w:szCs w:val="22"/>
        </w:rPr>
        <w:t xml:space="preserve">  der musischen Konfiguration, die ein kantilenisches, schön verziertes Webmuster hat. Gleich hier wird auch die einzige Kadenz im tiefen Gebiet des ganzen Gesanges registriert.  Man trifft einen intervalischen Sprung der kleinen  Septimen </w:t>
      </w:r>
      <w:r w:rsidRPr="00DD02F2">
        <w:rPr>
          <w:rFonts w:ascii="Times New Roman" w:hAnsi="Times New Roman" w:cs="Times New Roman"/>
          <w:i/>
          <w:iCs/>
          <w:sz w:val="22"/>
          <w:szCs w:val="22"/>
        </w:rPr>
        <w:t>(den einzigen im ganzen Werk)</w:t>
      </w:r>
      <w:r w:rsidRPr="00DD02F2">
        <w:rPr>
          <w:rFonts w:ascii="Times New Roman" w:hAnsi="Times New Roman" w:cs="Times New Roman"/>
          <w:sz w:val="22"/>
          <w:szCs w:val="22"/>
        </w:rPr>
        <w:t xml:space="preserve">, wo der melodische Diskurs auf dominantischer Ebene abläuft und wieder die vollkommene Kadenz auf dem Grundton registriert. Die letzten melodischen Phrasen beschreiben eine steigend-sinkende Abschweifung </w:t>
      </w:r>
      <w:r w:rsidRPr="00DD02F2">
        <w:rPr>
          <w:rFonts w:ascii="Times New Roman" w:hAnsi="Times New Roman" w:cs="Times New Roman"/>
          <w:i/>
          <w:iCs/>
          <w:sz w:val="22"/>
          <w:szCs w:val="22"/>
        </w:rPr>
        <w:t>(</w:t>
      </w:r>
      <w:r w:rsidRPr="00DD02F2">
        <w:rPr>
          <w:rFonts w:ascii="Times New Roman" w:hAnsi="Times New Roman" w:cs="Times New Roman"/>
          <w:i/>
          <w:iCs/>
          <w:sz w:val="22"/>
          <w:szCs w:val="22"/>
          <w:lang w:val="ro-RO"/>
        </w:rPr>
        <w:t>Anabasis-Katabasis</w:t>
      </w:r>
      <w:r w:rsidRPr="00DD02F2">
        <w:rPr>
          <w:rFonts w:ascii="Times New Roman" w:hAnsi="Times New Roman" w:cs="Times New Roman"/>
          <w:i/>
          <w:iCs/>
          <w:sz w:val="22"/>
          <w:szCs w:val="22"/>
        </w:rPr>
        <w:t>)</w:t>
      </w:r>
      <w:r w:rsidRPr="00DD02F2">
        <w:rPr>
          <w:rFonts w:ascii="Times New Roman" w:hAnsi="Times New Roman" w:cs="Times New Roman"/>
          <w:sz w:val="22"/>
          <w:szCs w:val="22"/>
        </w:rPr>
        <w:t xml:space="preserve"> von der Basis zu </w:t>
      </w:r>
      <w:r w:rsidRPr="00DD02F2">
        <w:rPr>
          <w:rFonts w:ascii="Times New Roman" w:hAnsi="Times New Roman" w:cs="Times New Roman"/>
          <w:i/>
          <w:iCs/>
          <w:sz w:val="22"/>
          <w:szCs w:val="22"/>
        </w:rPr>
        <w:t>do akut</w:t>
      </w:r>
      <w:r w:rsidRPr="00DD02F2">
        <w:rPr>
          <w:rFonts w:ascii="Times New Roman" w:hAnsi="Times New Roman" w:cs="Times New Roman"/>
          <w:sz w:val="22"/>
          <w:szCs w:val="22"/>
        </w:rPr>
        <w:t xml:space="preserve">, um danach unvollkommen auf die zweite Dominante des Tones </w:t>
      </w:r>
      <w:r w:rsidRPr="00DD02F2">
        <w:rPr>
          <w:rFonts w:ascii="Times New Roman" w:hAnsi="Times New Roman" w:cs="Times New Roman"/>
          <w:i/>
          <w:iCs/>
          <w:sz w:val="22"/>
          <w:szCs w:val="22"/>
        </w:rPr>
        <w:t>(so</w:t>
      </w:r>
      <w:r w:rsidRPr="00DD02F2">
        <w:rPr>
          <w:rFonts w:ascii="Times New Roman" w:hAnsi="Times New Roman" w:cs="Times New Roman"/>
          <w:i/>
          <w:iCs/>
          <w:sz w:val="22"/>
          <w:szCs w:val="22"/>
          <w:lang w:val="ro-RO"/>
        </w:rPr>
        <w:t>l</w:t>
      </w:r>
      <w:r w:rsidRPr="00DD02F2">
        <w:rPr>
          <w:rFonts w:ascii="Times New Roman" w:hAnsi="Times New Roman" w:cs="Times New Roman"/>
          <w:i/>
          <w:iCs/>
          <w:sz w:val="22"/>
          <w:szCs w:val="22"/>
        </w:rPr>
        <w:t xml:space="preserve">) </w:t>
      </w:r>
      <w:r w:rsidRPr="00DD02F2">
        <w:rPr>
          <w:rFonts w:ascii="Times New Roman" w:hAnsi="Times New Roman" w:cs="Times New Roman"/>
          <w:iCs/>
          <w:sz w:val="22"/>
          <w:szCs w:val="22"/>
        </w:rPr>
        <w:t>zu kadenzieren</w:t>
      </w:r>
      <w:r w:rsidRPr="00DD02F2">
        <w:rPr>
          <w:rFonts w:ascii="Times New Roman" w:hAnsi="Times New Roman" w:cs="Times New Roman"/>
          <w:sz w:val="22"/>
          <w:szCs w:val="22"/>
        </w:rPr>
        <w:t xml:space="preserve">, leicht steigend und schrittweise sinkend zu schweben und die für den kirchenhymnischen I. Ton typische Finalkadenz auf dessen Basis vorzubereiten.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Ein wesentlicher Charakterzug dieses rumänischen psaltischen Werkes ist die Tatsache, dass es alle Laute der modalen Stimmgabel verwendet und vorwiegend in der unteren Zone der Stimmgabel </w:t>
      </w:r>
      <w:r w:rsidRPr="00DD02F2">
        <w:rPr>
          <w:rFonts w:ascii="Times New Roman" w:hAnsi="Times New Roman" w:cs="Times New Roman"/>
          <w:i/>
          <w:iCs/>
          <w:sz w:val="22"/>
          <w:szCs w:val="22"/>
        </w:rPr>
        <w:t>(Quarte re-s</w:t>
      </w:r>
      <w:r w:rsidRPr="00DD02F2">
        <w:rPr>
          <w:rFonts w:ascii="Times New Roman" w:hAnsi="Times New Roman" w:cs="Times New Roman"/>
          <w:i/>
          <w:iCs/>
          <w:sz w:val="22"/>
          <w:szCs w:val="22"/>
          <w:lang w:val="ro-RO"/>
        </w:rPr>
        <w:t>ol</w:t>
      </w:r>
      <w:r w:rsidRPr="00DD02F2">
        <w:rPr>
          <w:rFonts w:ascii="Times New Roman" w:hAnsi="Times New Roman" w:cs="Times New Roman"/>
          <w:i/>
          <w:iCs/>
          <w:sz w:val="22"/>
          <w:szCs w:val="22"/>
        </w:rPr>
        <w:t xml:space="preserve">) </w:t>
      </w:r>
      <w:r w:rsidRPr="00DD02F2">
        <w:rPr>
          <w:rFonts w:ascii="Times New Roman" w:hAnsi="Times New Roman" w:cs="Times New Roman"/>
          <w:iCs/>
          <w:sz w:val="22"/>
          <w:szCs w:val="22"/>
        </w:rPr>
        <w:t>abläuft</w:t>
      </w:r>
      <w:r w:rsidRPr="00DD02F2">
        <w:rPr>
          <w:rFonts w:ascii="Times New Roman" w:hAnsi="Times New Roman" w:cs="Times New Roman"/>
          <w:sz w:val="22"/>
          <w:szCs w:val="22"/>
        </w:rPr>
        <w:t xml:space="preserve">, die die hauptsächliche Zone ist, in der sich der kirchenhymnische melodische Diskurs äußert. Die steigenden Sinne des melodischen Eonturs führen einen zur dominantischen Ebene </w:t>
      </w:r>
      <w:r w:rsidRPr="00DD02F2">
        <w:rPr>
          <w:rFonts w:ascii="Times New Roman" w:hAnsi="Times New Roman" w:cs="Times New Roman"/>
          <w:i/>
          <w:iCs/>
          <w:sz w:val="22"/>
          <w:szCs w:val="22"/>
        </w:rPr>
        <w:t>(fa-s</w:t>
      </w:r>
      <w:r w:rsidRPr="00DD02F2">
        <w:rPr>
          <w:rFonts w:ascii="Times New Roman" w:hAnsi="Times New Roman" w:cs="Times New Roman"/>
          <w:i/>
          <w:iCs/>
          <w:sz w:val="22"/>
          <w:szCs w:val="22"/>
          <w:lang w:val="ro-RO"/>
        </w:rPr>
        <w:t>ol</w:t>
      </w:r>
      <w:r w:rsidRPr="00DD02F2">
        <w:rPr>
          <w:rFonts w:ascii="Times New Roman" w:hAnsi="Times New Roman" w:cs="Times New Roman"/>
          <w:i/>
          <w:iCs/>
          <w:sz w:val="22"/>
          <w:szCs w:val="22"/>
        </w:rPr>
        <w:t>)</w:t>
      </w:r>
      <w:r w:rsidRPr="00DD02F2">
        <w:rPr>
          <w:rFonts w:ascii="Times New Roman" w:hAnsi="Times New Roman" w:cs="Times New Roman"/>
          <w:sz w:val="22"/>
          <w:szCs w:val="22"/>
        </w:rPr>
        <w:t xml:space="preserve">, während die sinkenden zum Grundton </w:t>
      </w:r>
      <w:r w:rsidRPr="00DD02F2">
        <w:rPr>
          <w:rFonts w:ascii="Times New Roman" w:hAnsi="Times New Roman" w:cs="Times New Roman"/>
          <w:i/>
          <w:iCs/>
          <w:sz w:val="22"/>
          <w:szCs w:val="22"/>
        </w:rPr>
        <w:t>(re)</w:t>
      </w:r>
      <w:r w:rsidRPr="00DD02F2">
        <w:rPr>
          <w:rFonts w:ascii="Times New Roman" w:hAnsi="Times New Roman" w:cs="Times New Roman"/>
          <w:sz w:val="22"/>
          <w:szCs w:val="22"/>
        </w:rPr>
        <w:t xml:space="preserve">. Die Rhythmik beruhigt sich durch hohe, im melodischen Kontext weniger verwendete Werte </w:t>
      </w:r>
      <w:r w:rsidRPr="00DD02F2">
        <w:rPr>
          <w:rFonts w:ascii="Times New Roman" w:hAnsi="Times New Roman" w:cs="Times New Roman"/>
          <w:i/>
          <w:iCs/>
          <w:sz w:val="22"/>
          <w:szCs w:val="22"/>
        </w:rPr>
        <w:t>(doimi)</w:t>
      </w:r>
      <w:r w:rsidRPr="00DD02F2">
        <w:rPr>
          <w:rFonts w:ascii="Times New Roman" w:hAnsi="Times New Roman" w:cs="Times New Roman"/>
          <w:sz w:val="22"/>
          <w:szCs w:val="22"/>
        </w:rPr>
        <w:t xml:space="preserve">. Diese Kadenzen sind durch ihre Effekte denen vom </w:t>
      </w:r>
      <w:r w:rsidRPr="00DD02F2">
        <w:rPr>
          <w:rFonts w:ascii="Times New Roman" w:hAnsi="Times New Roman" w:cs="Times New Roman"/>
          <w:i/>
          <w:iCs/>
          <w:sz w:val="22"/>
          <w:szCs w:val="22"/>
        </w:rPr>
        <w:t>cantus planus</w:t>
      </w:r>
      <w:r w:rsidRPr="00DD02F2">
        <w:rPr>
          <w:rFonts w:ascii="Times New Roman" w:hAnsi="Times New Roman" w:cs="Times New Roman"/>
          <w:sz w:val="22"/>
          <w:szCs w:val="22"/>
        </w:rPr>
        <w:t xml:space="preserve"> ähnlich.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Der Hymnentext erzählt von der übernatürlichen Geburt des „Herrn Jesu Christi”durch die Jungfrau Maria - </w:t>
      </w:r>
      <w:r w:rsidRPr="00DD02F2">
        <w:rPr>
          <w:rFonts w:ascii="Times New Roman" w:hAnsi="Times New Roman" w:cs="Times New Roman"/>
          <w:sz w:val="22"/>
          <w:szCs w:val="22"/>
          <w:lang w:val="ro-RO"/>
        </w:rPr>
        <w:t>„Kerubsitze“</w:t>
      </w:r>
      <w:r w:rsidRPr="00DD02F2">
        <w:rPr>
          <w:rFonts w:ascii="Times New Roman" w:hAnsi="Times New Roman" w:cs="Times New Roman"/>
          <w:sz w:val="22"/>
          <w:szCs w:val="22"/>
        </w:rPr>
        <w:t xml:space="preserve">, </w:t>
      </w:r>
      <w:r w:rsidRPr="00DD02F2">
        <w:rPr>
          <w:rFonts w:ascii="Times New Roman" w:hAnsi="Times New Roman" w:cs="Times New Roman"/>
          <w:sz w:val="22"/>
          <w:szCs w:val="22"/>
          <w:lang w:val="ro-RO"/>
        </w:rPr>
        <w:t>„Krippen, in denen der unendliche Herr schlief“.</w:t>
      </w:r>
      <w:r w:rsidRPr="00DD02F2">
        <w:rPr>
          <w:rFonts w:ascii="Times New Roman" w:hAnsi="Times New Roman" w:cs="Times New Roman"/>
          <w:sz w:val="22"/>
          <w:szCs w:val="22"/>
        </w:rPr>
        <w:t xml:space="preserve"> Die Vereinigung der Pläne: transzendent und immanent wird durch die Verwendung von den Symbolen des </w:t>
      </w:r>
      <w:r w:rsidRPr="00DD02F2">
        <w:rPr>
          <w:rFonts w:ascii="Times New Roman" w:hAnsi="Times New Roman" w:cs="Times New Roman"/>
          <w:i/>
          <w:sz w:val="22"/>
          <w:szCs w:val="22"/>
        </w:rPr>
        <w:t>Himmels</w:t>
      </w:r>
      <w:r w:rsidRPr="00DD02F2">
        <w:rPr>
          <w:rFonts w:ascii="Times New Roman" w:hAnsi="Times New Roman" w:cs="Times New Roman"/>
          <w:sz w:val="22"/>
          <w:szCs w:val="22"/>
        </w:rPr>
        <w:t xml:space="preserve"> und der </w:t>
      </w:r>
      <w:r w:rsidRPr="00DD02F2">
        <w:rPr>
          <w:rFonts w:ascii="Times New Roman" w:hAnsi="Times New Roman" w:cs="Times New Roman"/>
          <w:i/>
          <w:sz w:val="22"/>
          <w:szCs w:val="22"/>
        </w:rPr>
        <w:t>Erde</w:t>
      </w:r>
      <w:r w:rsidRPr="00DD02F2">
        <w:rPr>
          <w:rFonts w:ascii="Times New Roman" w:hAnsi="Times New Roman" w:cs="Times New Roman"/>
          <w:sz w:val="22"/>
          <w:szCs w:val="22"/>
        </w:rPr>
        <w:t xml:space="preserve"> durchgeführt. Der Lobgesang endet mit der passenden Doxologie </w:t>
      </w:r>
      <w:r w:rsidRPr="00DD02F2">
        <w:rPr>
          <w:rFonts w:ascii="Times New Roman" w:hAnsi="Times New Roman" w:cs="Times New Roman"/>
          <w:sz w:val="22"/>
          <w:szCs w:val="22"/>
          <w:lang w:val="ro-RO"/>
        </w:rPr>
        <w:t>„des Geborenen“</w:t>
      </w:r>
      <w:r w:rsidRPr="00DD02F2">
        <w:rPr>
          <w:rFonts w:ascii="Times New Roman" w:hAnsi="Times New Roman" w:cs="Times New Roman"/>
          <w:sz w:val="22"/>
          <w:szCs w:val="22"/>
        </w:rPr>
        <w:t xml:space="preserve">. </w:t>
      </w:r>
    </w:p>
    <w:p w:rsidR="001367F8" w:rsidRPr="00DD02F2" w:rsidRDefault="001367F8" w:rsidP="001367F8">
      <w:pPr>
        <w:pStyle w:val="PreformattedText"/>
        <w:ind w:firstLine="567"/>
        <w:jc w:val="both"/>
        <w:rPr>
          <w:rFonts w:ascii="Times New Roman" w:hAnsi="Times New Roman" w:cs="Times New Roman"/>
          <w:sz w:val="22"/>
          <w:szCs w:val="22"/>
        </w:rPr>
      </w:pPr>
      <w:r w:rsidRPr="00DD02F2">
        <w:rPr>
          <w:rFonts w:ascii="Times New Roman" w:hAnsi="Times New Roman" w:cs="Times New Roman"/>
          <w:sz w:val="22"/>
          <w:szCs w:val="22"/>
        </w:rPr>
        <w:t xml:space="preserve">Das ganze Werk Macaries (gedruckt oder nur im Manuskript) wurde von denen, die ihm am Kirchenstuhl, Altar oder im Lehramt folgten, extrapoliert und in Neamţ, Buzãu oder Bukarest neuverlegt. Weiterhin gehört unser Respekt dem patriotischen Ordenspriester auch wegen der Tatsache, dass er immer über die nationale Einheit der Rumänen von überall überlegte. </w:t>
      </w:r>
    </w:p>
    <w:p w:rsidR="001367F8" w:rsidRPr="001367F8" w:rsidRDefault="001367F8" w:rsidP="001367F8">
      <w:pPr>
        <w:pStyle w:val="PreformattedText"/>
        <w:jc w:val="both"/>
        <w:rPr>
          <w:sz w:val="22"/>
          <w:szCs w:val="22"/>
        </w:rPr>
      </w:pPr>
    </w:p>
    <w:p w:rsidR="00994701" w:rsidRDefault="00994701" w:rsidP="009354EE">
      <w:pPr>
        <w:pStyle w:val="BodyText"/>
      </w:pPr>
    </w:p>
    <w:p w:rsidR="00DD02F2" w:rsidRDefault="00DD02F2" w:rsidP="001367F8">
      <w:pPr>
        <w:pStyle w:val="Header1"/>
        <w:tabs>
          <w:tab w:val="clear" w:pos="360"/>
        </w:tabs>
        <w:ind w:left="0" w:firstLine="0"/>
        <w:rPr>
          <w:lang w:val="de-DE"/>
        </w:rPr>
      </w:pPr>
    </w:p>
    <w:p w:rsidR="00F80300" w:rsidRDefault="001367F8" w:rsidP="001367F8">
      <w:pPr>
        <w:pStyle w:val="Header1"/>
        <w:tabs>
          <w:tab w:val="clear" w:pos="360"/>
        </w:tabs>
        <w:ind w:left="0" w:firstLine="0"/>
        <w:rPr>
          <w:lang w:val="de-DE"/>
        </w:rPr>
      </w:pPr>
      <w:r w:rsidRPr="001367F8">
        <w:rPr>
          <w:lang w:val="de-DE"/>
        </w:rPr>
        <w:t>References</w:t>
      </w:r>
    </w:p>
    <w:p w:rsidR="00DD02F2" w:rsidRPr="001367F8" w:rsidRDefault="00DD02F2" w:rsidP="001367F8">
      <w:pPr>
        <w:pStyle w:val="Header1"/>
        <w:tabs>
          <w:tab w:val="clear" w:pos="360"/>
        </w:tabs>
        <w:ind w:left="0" w:firstLine="0"/>
        <w:rPr>
          <w:lang w:val="de-DE"/>
        </w:rPr>
      </w:pPr>
    </w:p>
    <w:p w:rsidR="001367F8" w:rsidRPr="00F80300" w:rsidRDefault="001367F8" w:rsidP="00F80300">
      <w:pPr>
        <w:pStyle w:val="FootnoteText"/>
        <w:spacing w:after="240"/>
        <w:jc w:val="both"/>
        <w:rPr>
          <w:sz w:val="20"/>
          <w:szCs w:val="20"/>
          <w:lang w:val="de-DE"/>
        </w:rPr>
      </w:pPr>
      <w:r w:rsidRPr="00F80300">
        <w:rPr>
          <w:sz w:val="20"/>
          <w:szCs w:val="20"/>
          <w:lang w:val="de-DE"/>
        </w:rPr>
        <w:t xml:space="preserve">[1] </w:t>
      </w:r>
      <w:r w:rsidRPr="00F80300">
        <w:rPr>
          <w:rFonts w:hint="eastAsia"/>
          <w:sz w:val="20"/>
          <w:szCs w:val="20"/>
          <w:lang w:val="de-DE"/>
        </w:rPr>
        <w:t>S</w:t>
      </w:r>
      <w:r w:rsidRPr="00F80300">
        <w:rPr>
          <w:sz w:val="20"/>
          <w:szCs w:val="20"/>
          <w:lang w:val="de-DE"/>
        </w:rPr>
        <w:t xml:space="preserve">iehe Moldoveanu, Diak. Doz. Dr. Nicu: </w:t>
      </w:r>
      <w:r w:rsidRPr="00F80300">
        <w:rPr>
          <w:i/>
          <w:iCs/>
          <w:sz w:val="20"/>
          <w:szCs w:val="20"/>
          <w:lang w:val="ro-RO"/>
        </w:rPr>
        <w:t>„</w:t>
      </w:r>
      <w:r w:rsidRPr="00F80300">
        <w:rPr>
          <w:i/>
          <w:iCs/>
          <w:sz w:val="20"/>
          <w:szCs w:val="20"/>
          <w:lang w:val="de-DE"/>
        </w:rPr>
        <w:t>Ordenspriester Macarie</w:t>
      </w:r>
      <w:r w:rsidRPr="00F80300">
        <w:rPr>
          <w:i/>
          <w:iCs/>
          <w:sz w:val="20"/>
          <w:szCs w:val="20"/>
          <w:lang w:val="ro-RO"/>
        </w:rPr>
        <w:t xml:space="preserve"> – Übersetzer, Kompositor, Schreiber, Drucker “</w:t>
      </w:r>
      <w:r w:rsidRPr="00F80300">
        <w:rPr>
          <w:sz w:val="20"/>
          <w:szCs w:val="20"/>
          <w:lang w:val="de-DE"/>
        </w:rPr>
        <w:t xml:space="preserve"> in R.O.K., Nr. 1-2, 1990; Posluşnicu, M., Gr.: </w:t>
      </w:r>
      <w:r w:rsidRPr="00F80300">
        <w:rPr>
          <w:i/>
          <w:iCs/>
          <w:sz w:val="20"/>
          <w:szCs w:val="20"/>
          <w:lang w:val="ro-RO"/>
        </w:rPr>
        <w:t>„Musikgeschichte bei den Rumänen“</w:t>
      </w:r>
      <w:r w:rsidRPr="00F80300">
        <w:rPr>
          <w:sz w:val="20"/>
          <w:szCs w:val="20"/>
          <w:lang w:val="de-DE"/>
        </w:rPr>
        <w:t xml:space="preserve">, Rumänisches Buchverlag, Bukarest, 1928, S. 34. Siehe Erbiceanu Constantin: </w:t>
      </w:r>
      <w:r w:rsidRPr="00F80300">
        <w:rPr>
          <w:i/>
          <w:iCs/>
          <w:sz w:val="20"/>
          <w:szCs w:val="20"/>
          <w:lang w:val="ro-RO"/>
        </w:rPr>
        <w:t>„</w:t>
      </w:r>
      <w:r w:rsidRPr="00F80300">
        <w:rPr>
          <w:i/>
          <w:iCs/>
          <w:sz w:val="20"/>
          <w:szCs w:val="20"/>
          <w:lang w:val="de-DE"/>
        </w:rPr>
        <w:t>Ordenspriester Macarie, Der Psalm der Bukarester Schule und der Reformator des alten Verfahrens des Kirchengesanges</w:t>
      </w:r>
      <w:r w:rsidRPr="00F80300">
        <w:rPr>
          <w:i/>
          <w:iCs/>
          <w:sz w:val="20"/>
          <w:szCs w:val="20"/>
          <w:lang w:val="ro-RO"/>
        </w:rPr>
        <w:t>“</w:t>
      </w:r>
      <w:r w:rsidRPr="00F80300">
        <w:rPr>
          <w:sz w:val="20"/>
          <w:szCs w:val="20"/>
          <w:lang w:val="ro-RO"/>
        </w:rPr>
        <w:t>,</w:t>
      </w:r>
      <w:r w:rsidRPr="00F80300">
        <w:rPr>
          <w:sz w:val="20"/>
          <w:szCs w:val="20"/>
          <w:lang w:val="de-DE"/>
        </w:rPr>
        <w:t xml:space="preserve"> in: R.O.K., Bukarest, 1892, Nr. 9, S. 808-820; idem </w:t>
      </w:r>
      <w:r w:rsidRPr="00F80300">
        <w:rPr>
          <w:i/>
          <w:iCs/>
          <w:sz w:val="20"/>
          <w:szCs w:val="20"/>
          <w:lang w:val="ro-RO"/>
        </w:rPr>
        <w:t xml:space="preserve">„Bemerkungen zur rumänischen Kirchengeschichte fürs </w:t>
      </w:r>
      <w:r w:rsidRPr="00F80300">
        <w:rPr>
          <w:i/>
          <w:iCs/>
          <w:sz w:val="20"/>
          <w:szCs w:val="20"/>
          <w:lang w:val="de-DE"/>
        </w:rPr>
        <w:t>XIX. Jahrhundert</w:t>
      </w:r>
      <w:r w:rsidRPr="00F80300">
        <w:rPr>
          <w:i/>
          <w:iCs/>
          <w:sz w:val="20"/>
          <w:szCs w:val="20"/>
          <w:lang w:val="ro-RO"/>
        </w:rPr>
        <w:t>“</w:t>
      </w:r>
      <w:r w:rsidRPr="00F80300">
        <w:rPr>
          <w:sz w:val="20"/>
          <w:szCs w:val="20"/>
          <w:lang w:val="ro-RO"/>
        </w:rPr>
        <w:t>,</w:t>
      </w:r>
      <w:r w:rsidRPr="00F80300">
        <w:rPr>
          <w:sz w:val="20"/>
          <w:szCs w:val="20"/>
          <w:lang w:val="de-DE"/>
        </w:rPr>
        <w:t xml:space="preserve"> in: R.O.K., Bukarest, 1904, Nr. 2, S. 187-188; Iorga, N.: </w:t>
      </w:r>
      <w:r w:rsidRPr="00F80300">
        <w:rPr>
          <w:i/>
          <w:iCs/>
          <w:sz w:val="20"/>
          <w:szCs w:val="20"/>
          <w:lang w:val="ro-RO"/>
        </w:rPr>
        <w:t>„Geschichte des rumänischen Schulwesens“</w:t>
      </w:r>
      <w:r w:rsidRPr="00F80300">
        <w:rPr>
          <w:sz w:val="20"/>
          <w:szCs w:val="20"/>
          <w:lang w:val="de-DE"/>
        </w:rPr>
        <w:t xml:space="preserve">, Bukarest, 1928, S. 175 u. 18 1; idem </w:t>
      </w:r>
      <w:r w:rsidRPr="00F80300">
        <w:rPr>
          <w:i/>
          <w:iCs/>
          <w:sz w:val="20"/>
          <w:szCs w:val="20"/>
          <w:lang w:val="ro-RO"/>
        </w:rPr>
        <w:t xml:space="preserve">„Geschichte der Rumänischen Kirche </w:t>
      </w:r>
      <w:r w:rsidRPr="00F80300">
        <w:rPr>
          <w:i/>
          <w:iCs/>
          <w:sz w:val="20"/>
          <w:szCs w:val="20"/>
          <w:lang w:val="de-DE"/>
        </w:rPr>
        <w:t>und des religiösen Lebens der Rumänen</w:t>
      </w:r>
      <w:r w:rsidRPr="00F80300">
        <w:rPr>
          <w:i/>
          <w:iCs/>
          <w:sz w:val="20"/>
          <w:szCs w:val="20"/>
          <w:lang w:val="ro-RO"/>
        </w:rPr>
        <w:t>“</w:t>
      </w:r>
      <w:r w:rsidRPr="00F80300">
        <w:rPr>
          <w:sz w:val="20"/>
          <w:szCs w:val="20"/>
          <w:lang w:val="ro-RO"/>
        </w:rPr>
        <w:t>,</w:t>
      </w:r>
      <w:r w:rsidRPr="00F80300">
        <w:rPr>
          <w:sz w:val="20"/>
          <w:szCs w:val="20"/>
          <w:lang w:val="de-DE"/>
        </w:rPr>
        <w:t xml:space="preserve"> II. Auflage, Bd. II, Bukarest, 1932, S. 224; idem </w:t>
      </w:r>
      <w:r w:rsidRPr="00F80300">
        <w:rPr>
          <w:i/>
          <w:iCs/>
          <w:sz w:val="20"/>
          <w:szCs w:val="20"/>
          <w:lang w:val="ro-RO"/>
        </w:rPr>
        <w:t>„Geschichte der Rumänen“</w:t>
      </w:r>
      <w:r w:rsidRPr="00F80300">
        <w:rPr>
          <w:sz w:val="20"/>
          <w:szCs w:val="20"/>
          <w:lang w:val="ro-RO"/>
        </w:rPr>
        <w:t>,</w:t>
      </w:r>
      <w:r w:rsidRPr="00F80300">
        <w:rPr>
          <w:sz w:val="20"/>
          <w:szCs w:val="20"/>
          <w:lang w:val="de-DE"/>
        </w:rPr>
        <w:t xml:space="preserve"> Bd. VIII, Bukarest, 1938, 321-323; Rusu, Liviu: </w:t>
      </w:r>
      <w:r w:rsidRPr="00F80300">
        <w:rPr>
          <w:i/>
          <w:iCs/>
          <w:sz w:val="20"/>
          <w:szCs w:val="20"/>
          <w:lang w:val="ro-RO"/>
        </w:rPr>
        <w:t>„</w:t>
      </w:r>
      <w:r w:rsidRPr="00F80300">
        <w:rPr>
          <w:i/>
          <w:iCs/>
          <w:sz w:val="20"/>
          <w:szCs w:val="20"/>
          <w:lang w:val="de-DE"/>
        </w:rPr>
        <w:t>Perspektiven und theoretische Beschäftigungen in der rumänischen Musikgeschichte</w:t>
      </w:r>
      <w:r w:rsidRPr="00F80300">
        <w:rPr>
          <w:i/>
          <w:iCs/>
          <w:sz w:val="20"/>
          <w:szCs w:val="20"/>
          <w:lang w:val="ro-RO"/>
        </w:rPr>
        <w:t>“</w:t>
      </w:r>
      <w:r w:rsidRPr="00F80300">
        <w:rPr>
          <w:sz w:val="20"/>
          <w:szCs w:val="20"/>
          <w:lang w:val="ro-RO"/>
        </w:rPr>
        <w:t>,</w:t>
      </w:r>
      <w:r w:rsidRPr="00F80300">
        <w:rPr>
          <w:sz w:val="20"/>
          <w:szCs w:val="20"/>
          <w:lang w:val="de-DE"/>
        </w:rPr>
        <w:t xml:space="preserve"> in: S.M.,Bd. II, Musikverlag, Bukarest, 1966, S. 246-247; Cosma, Viorel: </w:t>
      </w:r>
      <w:r w:rsidRPr="00F80300">
        <w:rPr>
          <w:i/>
          <w:iCs/>
          <w:sz w:val="20"/>
          <w:szCs w:val="20"/>
          <w:lang w:val="ro-RO"/>
        </w:rPr>
        <w:t>„Rumänische Musiker</w:t>
      </w:r>
      <w:r w:rsidRPr="00F80300">
        <w:rPr>
          <w:i/>
          <w:iCs/>
          <w:sz w:val="20"/>
          <w:szCs w:val="20"/>
          <w:lang w:val="de-DE"/>
        </w:rPr>
        <w:t>. Lexikon</w:t>
      </w:r>
      <w:r w:rsidRPr="00F80300">
        <w:rPr>
          <w:i/>
          <w:iCs/>
          <w:sz w:val="20"/>
          <w:szCs w:val="20"/>
          <w:lang w:val="ro-RO"/>
        </w:rPr>
        <w:t>“</w:t>
      </w:r>
      <w:r w:rsidRPr="00F80300">
        <w:rPr>
          <w:sz w:val="20"/>
          <w:szCs w:val="20"/>
          <w:lang w:val="ro-RO"/>
        </w:rPr>
        <w:t>,</w:t>
      </w:r>
      <w:r w:rsidRPr="00F80300">
        <w:rPr>
          <w:sz w:val="20"/>
          <w:szCs w:val="20"/>
          <w:lang w:val="de-DE"/>
        </w:rPr>
        <w:t xml:space="preserve"> Musikverlag, Bukarest, 1970, S. 284-285; Ciobanu, Gheorghe: </w:t>
      </w:r>
      <w:r w:rsidRPr="00F80300">
        <w:rPr>
          <w:i/>
          <w:iCs/>
          <w:sz w:val="20"/>
          <w:szCs w:val="20"/>
          <w:lang w:val="ro-RO"/>
        </w:rPr>
        <w:t xml:space="preserve">„Etnomusikologische und bysantinologische </w:t>
      </w:r>
      <w:r w:rsidRPr="00F80300">
        <w:rPr>
          <w:i/>
          <w:iCs/>
          <w:sz w:val="20"/>
          <w:szCs w:val="20"/>
          <w:lang w:val="de-DE"/>
        </w:rPr>
        <w:t>Studien</w:t>
      </w:r>
      <w:r w:rsidRPr="00F80300">
        <w:rPr>
          <w:i/>
          <w:iCs/>
          <w:sz w:val="20"/>
          <w:szCs w:val="20"/>
          <w:lang w:val="ro-RO"/>
        </w:rPr>
        <w:t>“</w:t>
      </w:r>
      <w:r w:rsidRPr="00F80300">
        <w:rPr>
          <w:sz w:val="20"/>
          <w:szCs w:val="20"/>
          <w:lang w:val="de-DE"/>
        </w:rPr>
        <w:t xml:space="preserve">, Bd. 1, Bukarest, 1974, S. 339-340, usw. </w:t>
      </w:r>
    </w:p>
    <w:p w:rsidR="001367F8" w:rsidRPr="00F80300" w:rsidRDefault="001367F8" w:rsidP="00F80300">
      <w:pPr>
        <w:pStyle w:val="FootnoteText"/>
        <w:spacing w:after="240"/>
        <w:jc w:val="both"/>
        <w:rPr>
          <w:sz w:val="20"/>
          <w:szCs w:val="20"/>
          <w:lang w:val="de-DE"/>
        </w:rPr>
      </w:pPr>
      <w:r w:rsidRPr="00F80300">
        <w:rPr>
          <w:sz w:val="20"/>
          <w:szCs w:val="20"/>
          <w:lang w:val="de-DE"/>
        </w:rPr>
        <w:t xml:space="preserve">[2] Ionescu C. Gheorghe: </w:t>
      </w:r>
      <w:r w:rsidRPr="00F80300">
        <w:rPr>
          <w:i/>
          <w:iCs/>
          <w:sz w:val="20"/>
          <w:szCs w:val="20"/>
          <w:lang w:val="de-DE"/>
        </w:rPr>
        <w:t>Lexikon,</w:t>
      </w:r>
      <w:r w:rsidRPr="00F80300">
        <w:rPr>
          <w:sz w:val="20"/>
          <w:szCs w:val="20"/>
          <w:lang w:val="de-DE"/>
        </w:rPr>
        <w:t xml:space="preserve"> Dioogenã Verlag, Bukarest, 1994, S. 213-214.</w:t>
      </w:r>
    </w:p>
    <w:p w:rsidR="00F80300" w:rsidRPr="00F80300" w:rsidRDefault="001367F8" w:rsidP="00F80300">
      <w:pPr>
        <w:pStyle w:val="FootnoteText"/>
        <w:spacing w:after="240"/>
        <w:jc w:val="both"/>
        <w:rPr>
          <w:sz w:val="20"/>
          <w:szCs w:val="20"/>
          <w:lang w:val="de-DE"/>
        </w:rPr>
      </w:pPr>
      <w:r w:rsidRPr="00F80300">
        <w:rPr>
          <w:sz w:val="20"/>
          <w:szCs w:val="20"/>
          <w:lang w:val="de-DE"/>
        </w:rPr>
        <w:t xml:space="preserve">[3] Siehe Popescu, Pr. Niculae: </w:t>
      </w:r>
      <w:r w:rsidRPr="00F80300">
        <w:rPr>
          <w:i/>
          <w:iCs/>
          <w:sz w:val="20"/>
          <w:szCs w:val="20"/>
          <w:lang w:val="ro-RO"/>
        </w:rPr>
        <w:t xml:space="preserve">„Leben und Werk des Gesanglehrers Ordenspriester </w:t>
      </w:r>
      <w:r w:rsidRPr="00F80300">
        <w:rPr>
          <w:i/>
          <w:iCs/>
          <w:sz w:val="20"/>
          <w:szCs w:val="20"/>
          <w:lang w:val="de-DE"/>
        </w:rPr>
        <w:t>Macarie</w:t>
      </w:r>
      <w:r w:rsidRPr="00F80300">
        <w:rPr>
          <w:i/>
          <w:iCs/>
          <w:sz w:val="20"/>
          <w:szCs w:val="20"/>
          <w:lang w:val="ro-RO"/>
        </w:rPr>
        <w:t>“</w:t>
      </w:r>
      <w:r w:rsidRPr="00F80300">
        <w:rPr>
          <w:sz w:val="20"/>
          <w:szCs w:val="20"/>
          <w:lang w:val="de-DE"/>
        </w:rPr>
        <w:t>, Verlag des Instituts für bildende Künste Carol Goble, Bukarest, 1908.</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[4] Rum. Ms., 1690, von der B.R.A. (Bibliothek der Rumänischen Akademie). </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[5] Rum. Ms., 169, von der B.R.A. </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[6] Rum. Ms.,1685, von der B.R.A. </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[7] Rum. Ms., 4412, von der B.R.A.  </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[8] Rum. Ms., 1692, von der B.R.A.  </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[9] Rum. Ms., 1804, von der B.R.A.  </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[10] Rum. Ms., 3735, von der B.R.A.  </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[11] Rum. Ms., 1804, von der B.R.A.  </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[12] Rum. Ms., 3735, von der B.R.A., S. 41-45. </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[13] Niculae M. Popescu: </w:t>
      </w:r>
      <w:r w:rsidRPr="00F80300">
        <w:rPr>
          <w:i/>
          <w:iCs/>
          <w:sz w:val="20"/>
          <w:szCs w:val="20"/>
          <w:lang w:val="de-DE"/>
        </w:rPr>
        <w:t>Macarie der Psalmensänger. 100 Jahre nach seinem Tode, (1836-1936),</w:t>
      </w:r>
      <w:r w:rsidRPr="00F80300">
        <w:rPr>
          <w:sz w:val="20"/>
          <w:szCs w:val="20"/>
          <w:lang w:val="de-DE"/>
        </w:rPr>
        <w:t xml:space="preserve"> Bukarest, 1936, S. 13-32. </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[14] Rum. Ms., 3736, von der B.R.A.   </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[15] Rum. Ms., 4479, von der B.R.A.   </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[16] siehe Moisecu, Titus: </w:t>
      </w:r>
      <w:r w:rsidRPr="00F80300">
        <w:rPr>
          <w:sz w:val="20"/>
          <w:szCs w:val="20"/>
          <w:lang w:val="ro-RO"/>
        </w:rPr>
        <w:t>„</w:t>
      </w:r>
      <w:r w:rsidRPr="00F80300">
        <w:rPr>
          <w:i/>
          <w:sz w:val="20"/>
          <w:szCs w:val="20"/>
          <w:lang w:val="ro-RO"/>
        </w:rPr>
        <w:t>Bysantinische</w:t>
      </w:r>
      <w:r w:rsidRPr="00F80300">
        <w:rPr>
          <w:sz w:val="20"/>
          <w:szCs w:val="20"/>
          <w:lang w:val="ro-RO"/>
        </w:rPr>
        <w:t xml:space="preserve"> </w:t>
      </w:r>
      <w:r w:rsidRPr="00F80300">
        <w:rPr>
          <w:i/>
          <w:iCs/>
          <w:sz w:val="20"/>
          <w:szCs w:val="20"/>
          <w:lang w:val="de-DE"/>
        </w:rPr>
        <w:t>Prolegomene</w:t>
      </w:r>
      <w:r w:rsidRPr="00F80300">
        <w:rPr>
          <w:i/>
          <w:iCs/>
          <w:sz w:val="20"/>
          <w:szCs w:val="20"/>
          <w:lang w:val="ro-RO"/>
        </w:rPr>
        <w:t>“</w:t>
      </w:r>
      <w:r w:rsidRPr="00F80300">
        <w:rPr>
          <w:i/>
          <w:iCs/>
          <w:sz w:val="20"/>
          <w:szCs w:val="20"/>
          <w:lang w:val="de-DE"/>
        </w:rPr>
        <w:t>,</w:t>
      </w:r>
      <w:r w:rsidRPr="00F80300">
        <w:rPr>
          <w:sz w:val="20"/>
          <w:szCs w:val="20"/>
          <w:lang w:val="de-DE"/>
        </w:rPr>
        <w:t xml:space="preserve"> Musikverlag, Bukarest, 1985. </w:t>
      </w:r>
    </w:p>
    <w:p w:rsidR="00F80300" w:rsidRPr="00F80300" w:rsidRDefault="00F80300" w:rsidP="00F80300">
      <w:pPr>
        <w:pStyle w:val="FootnoteText"/>
        <w:spacing w:after="240"/>
        <w:jc w:val="both"/>
        <w:rPr>
          <w:sz w:val="20"/>
          <w:szCs w:val="20"/>
          <w:lang w:val="ro-RO"/>
        </w:rPr>
      </w:pPr>
      <w:r w:rsidRPr="00F80300">
        <w:rPr>
          <w:sz w:val="20"/>
          <w:szCs w:val="20"/>
          <w:lang w:val="de-DE"/>
        </w:rPr>
        <w:t xml:space="preserve">[17] </w:t>
      </w:r>
      <w:r w:rsidRPr="00F80300">
        <w:rPr>
          <w:sz w:val="20"/>
          <w:szCs w:val="20"/>
        </w:rPr>
        <w:t xml:space="preserve">Popescu, Pr. Niculae: </w:t>
      </w:r>
      <w:r w:rsidRPr="00F80300">
        <w:rPr>
          <w:i/>
          <w:iCs/>
          <w:sz w:val="20"/>
          <w:szCs w:val="20"/>
        </w:rPr>
        <w:t>op. cit</w:t>
      </w:r>
      <w:r w:rsidRPr="00F80300">
        <w:rPr>
          <w:sz w:val="20"/>
          <w:szCs w:val="20"/>
        </w:rPr>
        <w:t>., S. 5</w:t>
      </w:r>
      <w:r w:rsidRPr="00F80300">
        <w:rPr>
          <w:sz w:val="20"/>
          <w:szCs w:val="20"/>
          <w:lang w:val="ro-RO"/>
        </w:rPr>
        <w:t>1.</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[18] Stanciu, pr. dr. Vasile: </w:t>
      </w:r>
      <w:r w:rsidRPr="00F80300">
        <w:rPr>
          <w:i/>
          <w:iCs/>
          <w:sz w:val="20"/>
          <w:szCs w:val="20"/>
          <w:lang w:val="ro-RO"/>
        </w:rPr>
        <w:t>„Die orthodoxe Kirchenmusik aus Siebenbürgen“</w:t>
      </w:r>
      <w:r w:rsidRPr="00F80300">
        <w:rPr>
          <w:sz w:val="20"/>
          <w:szCs w:val="20"/>
          <w:lang w:val="de-DE"/>
        </w:rPr>
        <w:t xml:space="preserve">, Verlag der Universitätspresse von Klausenburg, Klausenburg, 1996, S. 67. </w:t>
      </w:r>
    </w:p>
    <w:p w:rsidR="00F80300" w:rsidRPr="00F80300" w:rsidRDefault="00F80300" w:rsidP="00F80300">
      <w:pPr>
        <w:pStyle w:val="FootnoteText"/>
        <w:spacing w:after="240"/>
        <w:jc w:val="both"/>
        <w:rPr>
          <w:sz w:val="20"/>
          <w:szCs w:val="20"/>
          <w:lang w:val="ro-RO"/>
        </w:rPr>
      </w:pPr>
      <w:r w:rsidRPr="00F80300">
        <w:rPr>
          <w:sz w:val="20"/>
          <w:szCs w:val="20"/>
        </w:rPr>
        <w:t xml:space="preserve">[19] </w:t>
      </w:r>
      <w:r w:rsidRPr="00F80300">
        <w:rPr>
          <w:sz w:val="20"/>
          <w:szCs w:val="20"/>
          <w:lang w:val="ro-RO"/>
        </w:rPr>
        <w:t xml:space="preserve">Moisescu Titus: </w:t>
      </w:r>
      <w:r w:rsidRPr="00F80300">
        <w:rPr>
          <w:i/>
          <w:iCs/>
          <w:sz w:val="20"/>
          <w:szCs w:val="20"/>
          <w:lang w:val="ro-RO"/>
        </w:rPr>
        <w:t>op. cit</w:t>
      </w:r>
      <w:r w:rsidRPr="00F80300">
        <w:rPr>
          <w:sz w:val="20"/>
          <w:szCs w:val="20"/>
          <w:lang w:val="ro-RO"/>
        </w:rPr>
        <w:t>.,</w:t>
      </w:r>
      <w:r w:rsidRPr="00F80300">
        <w:rPr>
          <w:sz w:val="20"/>
          <w:szCs w:val="20"/>
        </w:rPr>
        <w:t xml:space="preserve"> </w:t>
      </w:r>
      <w:r w:rsidRPr="00F80300">
        <w:rPr>
          <w:sz w:val="20"/>
          <w:szCs w:val="20"/>
          <w:lang w:val="ro-RO"/>
        </w:rPr>
        <w:t>S. 93.</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[20] Moldoveanu, Diak. Doz. dr. Nicu: </w:t>
      </w:r>
      <w:r w:rsidRPr="00F80300">
        <w:rPr>
          <w:i/>
          <w:iCs/>
          <w:sz w:val="20"/>
          <w:szCs w:val="20"/>
          <w:lang w:val="ro-RO"/>
        </w:rPr>
        <w:t xml:space="preserve">„Die Kirchenmusik bei den Rumänen </w:t>
      </w:r>
      <w:r w:rsidRPr="00F80300">
        <w:rPr>
          <w:i/>
          <w:iCs/>
          <w:sz w:val="20"/>
          <w:szCs w:val="20"/>
          <w:lang w:val="de-DE"/>
        </w:rPr>
        <w:t>im XIX. Jahrhundert</w:t>
      </w:r>
      <w:r w:rsidRPr="00F80300">
        <w:rPr>
          <w:i/>
          <w:iCs/>
          <w:sz w:val="20"/>
          <w:szCs w:val="20"/>
          <w:lang w:val="ro-RO"/>
        </w:rPr>
        <w:t>“</w:t>
      </w:r>
      <w:r w:rsidRPr="00F80300">
        <w:rPr>
          <w:sz w:val="20"/>
          <w:szCs w:val="20"/>
          <w:lang w:val="de-DE"/>
        </w:rPr>
        <w:t>, (</w:t>
      </w:r>
      <w:r w:rsidRPr="00F80300">
        <w:rPr>
          <w:sz w:val="20"/>
          <w:szCs w:val="20"/>
          <w:lang w:val="ro-RO"/>
        </w:rPr>
        <w:t>I</w:t>
      </w:r>
      <w:r w:rsidRPr="00F80300">
        <w:rPr>
          <w:sz w:val="20"/>
          <w:szCs w:val="20"/>
          <w:lang w:val="de-DE"/>
        </w:rPr>
        <w:t xml:space="preserve">), </w:t>
      </w:r>
      <w:r w:rsidRPr="00F80300">
        <w:rPr>
          <w:sz w:val="20"/>
          <w:szCs w:val="20"/>
          <w:lang w:val="ro-RO"/>
        </w:rPr>
        <w:t>i</w:t>
      </w:r>
      <w:r w:rsidRPr="00F80300">
        <w:rPr>
          <w:sz w:val="20"/>
          <w:szCs w:val="20"/>
          <w:lang w:val="de-DE"/>
        </w:rPr>
        <w:t xml:space="preserve">n: </w:t>
      </w:r>
      <w:r w:rsidRPr="00F80300">
        <w:rPr>
          <w:sz w:val="20"/>
          <w:szCs w:val="20"/>
          <w:lang w:val="ro-RO"/>
        </w:rPr>
        <w:t>„Stimme der Kirche“</w:t>
      </w:r>
      <w:r w:rsidRPr="00F80300">
        <w:rPr>
          <w:sz w:val="20"/>
          <w:szCs w:val="20"/>
          <w:lang w:val="de-DE"/>
        </w:rPr>
        <w:t xml:space="preserve">, Bukarest, Nr. 11-12, 1982, </w:t>
      </w:r>
      <w:r w:rsidRPr="00F80300">
        <w:rPr>
          <w:sz w:val="20"/>
          <w:szCs w:val="20"/>
          <w:lang w:val="ro-RO"/>
        </w:rPr>
        <w:t>S</w:t>
      </w:r>
      <w:r w:rsidRPr="00F80300">
        <w:rPr>
          <w:sz w:val="20"/>
          <w:szCs w:val="20"/>
          <w:lang w:val="de-DE"/>
        </w:rPr>
        <w:t xml:space="preserve">. 889. </w:t>
      </w:r>
    </w:p>
    <w:p w:rsidR="00F80300" w:rsidRPr="00F80300" w:rsidRDefault="00F80300" w:rsidP="00F80300">
      <w:pPr>
        <w:pStyle w:val="FootnoteText"/>
        <w:spacing w:after="240"/>
        <w:jc w:val="both"/>
        <w:rPr>
          <w:sz w:val="20"/>
          <w:szCs w:val="20"/>
          <w:lang w:val="de-DE"/>
        </w:rPr>
      </w:pPr>
      <w:r w:rsidRPr="00F80300">
        <w:rPr>
          <w:sz w:val="20"/>
          <w:szCs w:val="20"/>
          <w:lang w:val="de-DE"/>
        </w:rPr>
        <w:lastRenderedPageBreak/>
        <w:t xml:space="preserve">[21] Ploieşteanu, Nifon: </w:t>
      </w:r>
      <w:r w:rsidRPr="00F80300">
        <w:rPr>
          <w:i/>
          <w:iCs/>
          <w:sz w:val="20"/>
          <w:szCs w:val="20"/>
          <w:lang w:val="ro-RO"/>
        </w:rPr>
        <w:t>„Buch zur Kirchenmusik“</w:t>
      </w:r>
      <w:r w:rsidRPr="00F80300">
        <w:rPr>
          <w:sz w:val="20"/>
          <w:szCs w:val="20"/>
          <w:lang w:val="de-DE"/>
        </w:rPr>
        <w:t xml:space="preserve">, Bukarest, 1902, S. </w:t>
      </w:r>
      <w:r w:rsidRPr="00F80300">
        <w:rPr>
          <w:sz w:val="20"/>
          <w:szCs w:val="20"/>
          <w:lang w:val="ro-RO"/>
        </w:rPr>
        <w:t>54-55.</w:t>
      </w:r>
      <w:r w:rsidRPr="00F80300">
        <w:rPr>
          <w:sz w:val="20"/>
          <w:szCs w:val="20"/>
          <w:lang w:val="de-DE"/>
        </w:rPr>
        <w:t xml:space="preserve"> </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[22] Octavian Lazãr Cosma: </w:t>
      </w:r>
      <w:r w:rsidRPr="00F80300">
        <w:rPr>
          <w:i/>
          <w:iCs/>
          <w:sz w:val="20"/>
          <w:szCs w:val="20"/>
          <w:lang w:val="ro-RO"/>
        </w:rPr>
        <w:t>„Chroniker der rumänischen Musik“</w:t>
      </w:r>
      <w:r w:rsidRPr="00F80300">
        <w:rPr>
          <w:sz w:val="20"/>
          <w:szCs w:val="20"/>
          <w:lang w:val="de-DE"/>
        </w:rPr>
        <w:t xml:space="preserve">, Bd. II, Musikverlag, Bukarest, 1974, S. 94. </w:t>
      </w:r>
    </w:p>
    <w:p w:rsidR="00F80300" w:rsidRPr="00F80300" w:rsidRDefault="00F80300" w:rsidP="00F80300">
      <w:pPr>
        <w:pStyle w:val="FootnoteText"/>
        <w:spacing w:after="240"/>
        <w:jc w:val="both"/>
        <w:rPr>
          <w:sz w:val="20"/>
          <w:szCs w:val="20"/>
        </w:rPr>
      </w:pPr>
      <w:r w:rsidRPr="00F80300">
        <w:rPr>
          <w:sz w:val="20"/>
          <w:szCs w:val="20"/>
          <w:lang w:val="de-DE"/>
        </w:rPr>
        <w:t xml:space="preserve">[23] Stanciu, Pfr. dr. </w:t>
      </w:r>
      <w:r w:rsidRPr="00F80300">
        <w:rPr>
          <w:sz w:val="20"/>
          <w:szCs w:val="20"/>
        </w:rPr>
        <w:t xml:space="preserve">Vasile: </w:t>
      </w:r>
      <w:r w:rsidRPr="00F80300">
        <w:rPr>
          <w:i/>
          <w:iCs/>
          <w:sz w:val="20"/>
          <w:szCs w:val="20"/>
        </w:rPr>
        <w:t>op. cit.</w:t>
      </w:r>
      <w:r w:rsidRPr="00F80300">
        <w:rPr>
          <w:sz w:val="20"/>
          <w:szCs w:val="20"/>
        </w:rPr>
        <w:t xml:space="preserve">, S. 60. </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[24] Moldoveanu, Diak. Doz. dr. Nicu: </w:t>
      </w:r>
      <w:r w:rsidRPr="00F80300">
        <w:rPr>
          <w:i/>
          <w:iCs/>
          <w:sz w:val="20"/>
          <w:szCs w:val="20"/>
          <w:lang w:val="de-DE"/>
        </w:rPr>
        <w:t>op. cit</w:t>
      </w:r>
      <w:r w:rsidRPr="00F80300">
        <w:rPr>
          <w:sz w:val="20"/>
          <w:szCs w:val="20"/>
          <w:lang w:val="de-DE"/>
        </w:rPr>
        <w:t xml:space="preserve">., S. 890. </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[25] </w:t>
      </w:r>
      <w:r w:rsidRPr="00F80300">
        <w:rPr>
          <w:i/>
          <w:sz w:val="20"/>
          <w:szCs w:val="20"/>
          <w:lang w:val="de-DE"/>
        </w:rPr>
        <w:t xml:space="preserve">Gesänge der heiligen </w:t>
      </w:r>
      <w:r w:rsidRPr="00F80300">
        <w:rPr>
          <w:i/>
          <w:iCs/>
          <w:sz w:val="20"/>
          <w:szCs w:val="20"/>
          <w:lang w:val="de-DE"/>
        </w:rPr>
        <w:t>Liturgie und andere Kirchengesänge</w:t>
      </w:r>
      <w:r w:rsidRPr="00F80300">
        <w:rPr>
          <w:sz w:val="20"/>
          <w:szCs w:val="20"/>
          <w:lang w:val="de-DE"/>
        </w:rPr>
        <w:t>, IMBOR Verlag, Bukarest, 1999, S. 216-218.</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[26] </w:t>
      </w:r>
      <w:r w:rsidRPr="00F80300">
        <w:rPr>
          <w:i/>
          <w:sz w:val="20"/>
          <w:szCs w:val="20"/>
          <w:lang w:val="de-DE"/>
        </w:rPr>
        <w:t>Ebenda</w:t>
      </w:r>
      <w:r w:rsidRPr="00F80300">
        <w:rPr>
          <w:sz w:val="20"/>
          <w:szCs w:val="20"/>
          <w:lang w:val="de-DE"/>
        </w:rPr>
        <w:t>, S. 2</w:t>
      </w:r>
      <w:r w:rsidRPr="00F80300">
        <w:rPr>
          <w:sz w:val="20"/>
          <w:szCs w:val="20"/>
          <w:lang w:val="ro-RO"/>
        </w:rPr>
        <w:t>08</w:t>
      </w:r>
      <w:r w:rsidRPr="00F80300">
        <w:rPr>
          <w:sz w:val="20"/>
          <w:szCs w:val="20"/>
          <w:lang w:val="de-DE"/>
        </w:rPr>
        <w:t>-21</w:t>
      </w:r>
      <w:r w:rsidRPr="00F80300">
        <w:rPr>
          <w:sz w:val="20"/>
          <w:szCs w:val="20"/>
          <w:lang w:val="ro-RO"/>
        </w:rPr>
        <w:t>1</w:t>
      </w:r>
      <w:r w:rsidRPr="00F80300">
        <w:rPr>
          <w:sz w:val="20"/>
          <w:szCs w:val="20"/>
          <w:lang w:val="de-DE"/>
        </w:rPr>
        <w:t xml:space="preserve">. </w:t>
      </w:r>
    </w:p>
    <w:p w:rsidR="00F80300" w:rsidRPr="00F80300" w:rsidRDefault="00F80300" w:rsidP="00F80300">
      <w:pPr>
        <w:pStyle w:val="FootnoteText"/>
        <w:spacing w:after="240"/>
        <w:jc w:val="both"/>
        <w:rPr>
          <w:sz w:val="20"/>
          <w:szCs w:val="20"/>
          <w:lang w:val="de-DE"/>
        </w:rPr>
      </w:pPr>
      <w:r w:rsidRPr="00F80300">
        <w:rPr>
          <w:sz w:val="20"/>
          <w:szCs w:val="20"/>
          <w:lang w:val="de-DE"/>
        </w:rPr>
        <w:t xml:space="preserve">[27] </w:t>
      </w:r>
      <w:r w:rsidRPr="00F80300">
        <w:rPr>
          <w:i/>
          <w:sz w:val="20"/>
          <w:szCs w:val="20"/>
          <w:lang w:val="de-DE"/>
        </w:rPr>
        <w:t>ebenda</w:t>
      </w:r>
      <w:r w:rsidRPr="00F80300">
        <w:rPr>
          <w:sz w:val="20"/>
          <w:szCs w:val="20"/>
          <w:lang w:val="de-DE"/>
        </w:rPr>
        <w:t>, S. 2</w:t>
      </w:r>
      <w:r w:rsidRPr="00F80300">
        <w:rPr>
          <w:sz w:val="20"/>
          <w:szCs w:val="20"/>
          <w:lang w:val="ro-RO"/>
        </w:rPr>
        <w:t>04</w:t>
      </w:r>
      <w:r w:rsidRPr="00F80300">
        <w:rPr>
          <w:sz w:val="20"/>
          <w:szCs w:val="20"/>
          <w:lang w:val="de-DE"/>
        </w:rPr>
        <w:t>-2</w:t>
      </w:r>
      <w:r w:rsidRPr="00F80300">
        <w:rPr>
          <w:sz w:val="20"/>
          <w:szCs w:val="20"/>
          <w:lang w:val="ro-RO"/>
        </w:rPr>
        <w:t>05</w:t>
      </w:r>
      <w:r w:rsidRPr="00F80300">
        <w:rPr>
          <w:sz w:val="20"/>
          <w:szCs w:val="20"/>
          <w:lang w:val="de-DE"/>
        </w:rPr>
        <w:t>.</w:t>
      </w:r>
    </w:p>
    <w:p w:rsidR="00BD3900" w:rsidRDefault="00BD3900"/>
    <w:sectPr w:rsidR="00BD3900" w:rsidSect="00BD3900">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7565" w:rsidRDefault="00097565" w:rsidP="009354EE">
      <w:r>
        <w:separator/>
      </w:r>
    </w:p>
  </w:endnote>
  <w:endnote w:type="continuationSeparator" w:id="1">
    <w:p w:rsidR="00097565" w:rsidRDefault="00097565" w:rsidP="009354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Arial Unicode MS"/>
    <w:panose1 w:val="02010600030101010101"/>
    <w:charset w:val="86"/>
    <w:family w:val="auto"/>
    <w:notTrueType/>
    <w:pitch w:val="variable"/>
    <w:sig w:usb0="00000000" w:usb1="080E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61002A87" w:usb1="80000000" w:usb2="00000008" w:usb3="00000000" w:csb0="000101FF" w:csb1="00000000"/>
  </w:font>
  <w:font w:name="NSimSun">
    <w:altName w:val="Lucida Console"/>
    <w:charset w:val="00"/>
    <w:family w:val="modern"/>
    <w:pitch w:val="fixed"/>
    <w:sig w:usb0="00000000" w:usb1="00000000" w:usb2="00000000" w:usb3="00000000" w:csb0="00000000" w:csb1="00000000"/>
  </w:font>
  <w:font w:name="MS PMincho">
    <w:altName w:val="MS Mincho"/>
    <w:charset w:val="80"/>
    <w:family w:val="roman"/>
    <w:pitch w:val="variable"/>
    <w:sig w:usb0="00000000" w:usb1="6AC7FDFB" w:usb2="00000012" w:usb3="00000000" w:csb0="0002009F" w:csb1="00000000"/>
  </w:font>
  <w:font w:name="Bauhaus 93">
    <w:panose1 w:val="04030905020B02020C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7565" w:rsidRDefault="00097565" w:rsidP="009354EE">
      <w:r>
        <w:separator/>
      </w:r>
    </w:p>
  </w:footnote>
  <w:footnote w:type="continuationSeparator" w:id="1">
    <w:p w:rsidR="00097565" w:rsidRDefault="00097565" w:rsidP="009354EE">
      <w:r>
        <w:continuationSeparator/>
      </w:r>
    </w:p>
  </w:footnote>
  <w:footnote w:id="2">
    <w:p w:rsidR="009354EE" w:rsidRDefault="009354EE" w:rsidP="009354EE">
      <w:pPr>
        <w:pStyle w:val="FootnoteText"/>
      </w:pPr>
      <w:r>
        <w:rPr>
          <w:rStyle w:val="FootnoteCharacters"/>
          <w:rFonts w:ascii="Symbol" w:hAnsi="Symbol"/>
        </w:rPr>
        <w:t></w:t>
      </w:r>
      <w:r>
        <w:tab/>
        <w:t xml:space="preserve">  Corresponding author. Tel.: + </w:t>
      </w:r>
      <w:r w:rsidR="0093762D">
        <w:rPr>
          <w:color w:val="FF0000"/>
        </w:rPr>
        <w:t xml:space="preserve">40 7 </w:t>
      </w:r>
    </w:p>
    <w:p w:rsidR="009354EE" w:rsidRDefault="009354EE" w:rsidP="009354EE">
      <w:pPr>
        <w:pStyle w:val="FootnoteText"/>
      </w:pPr>
      <w:r>
        <w:tab/>
        <w:t xml:space="preserve">   </w:t>
      </w:r>
      <w:r>
        <w:rPr>
          <w:i/>
          <w:iCs/>
        </w:rPr>
        <w:t>E-mail address</w:t>
      </w:r>
      <w:r>
        <w:t xml:space="preserve">: </w:t>
      </w:r>
      <w:r w:rsidR="0093762D" w:rsidRPr="0093762D">
        <w:t>mihaibrie@yahoo.com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30B" w:rsidRPr="00CB430B" w:rsidRDefault="00B05C27" w:rsidP="00C96028">
    <w:pPr>
      <w:pStyle w:val="Header"/>
      <w:jc w:val="both"/>
      <w:rPr>
        <w:rFonts w:ascii="Bauhaus 93" w:hAnsi="Bauhaus 93"/>
        <w:i/>
        <w:color w:val="5F497A" w:themeColor="accent4" w:themeShade="BF"/>
        <w:lang w:val="en-US"/>
      </w:rPr>
    </w:pPr>
    <w:r w:rsidRPr="008423E3">
      <w:rPr>
        <w:rFonts w:ascii="Bauhaus 93" w:hAnsi="Bauhaus 93"/>
        <w:i/>
        <w:lang w:val="en-US"/>
      </w:rPr>
      <w:t>Hymnology Congress with International Participation, Timisoara 3 to 5 March 2013</w:t>
    </w:r>
    <w:r w:rsidR="00C96028">
      <w:rPr>
        <w:rFonts w:ascii="Bauhaus 93" w:hAnsi="Bauhaus 93"/>
        <w:i/>
        <w:color w:val="5F497A" w:themeColor="accent4" w:themeShade="BF"/>
        <w:lang w:val="en-US"/>
      </w:rPr>
      <w:t xml:space="preserve">  </w:t>
    </w:r>
    <w:r w:rsidR="00C96028">
      <w:rPr>
        <w:rFonts w:ascii="Bauhaus 93" w:hAnsi="Bauhaus 93"/>
        <w:i/>
        <w:noProof/>
        <w:color w:val="5F497A" w:themeColor="accent4" w:themeShade="BF"/>
        <w:lang w:val="en-US"/>
      </w:rPr>
      <w:drawing>
        <wp:inline distT="0" distB="0" distL="0" distR="0">
          <wp:extent cx="493014" cy="372767"/>
          <wp:effectExtent l="19050" t="0" r="2286" b="0"/>
          <wp:docPr id="10" name="Picture 9" descr="dscn55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n5523.jpg"/>
                  <pic:cNvPicPr/>
                </pic:nvPicPr>
                <pic:blipFill>
                  <a:blip r:embed="rId1">
                    <a:grayscl/>
                  </a:blip>
                  <a:stretch>
                    <a:fillRect/>
                  </a:stretch>
                </pic:blipFill>
                <pic:spPr>
                  <a:xfrm>
                    <a:off x="0" y="0"/>
                    <a:ext cx="493014" cy="372767"/>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648"/>
        </w:tabs>
        <w:ind w:left="648" w:hanging="360"/>
      </w:pPr>
      <w:rPr>
        <w:rFonts w:ascii="Symbol" w:hAnsi="Symbol"/>
        <w:b/>
        <w:i w:val="0"/>
        <w:sz w:val="28"/>
      </w:rPr>
    </w:lvl>
    <w:lvl w:ilvl="1">
      <w:start w:val="1"/>
      <w:numFmt w:val="bullet"/>
      <w:lvlText w:val="o"/>
      <w:lvlJc w:val="left"/>
      <w:pPr>
        <w:tabs>
          <w:tab w:val="num" w:pos="1368"/>
        </w:tabs>
        <w:ind w:left="1368" w:hanging="360"/>
      </w:pPr>
      <w:rPr>
        <w:rFonts w:ascii="Courier New" w:hAnsi="Courier New"/>
      </w:rPr>
    </w:lvl>
    <w:lvl w:ilvl="2">
      <w:start w:val="1"/>
      <w:numFmt w:val="bullet"/>
      <w:lvlText w:val=""/>
      <w:lvlJc w:val="left"/>
      <w:pPr>
        <w:tabs>
          <w:tab w:val="num" w:pos="2088"/>
        </w:tabs>
        <w:ind w:left="2088" w:hanging="360"/>
      </w:pPr>
      <w:rPr>
        <w:rFonts w:ascii="Wingdings" w:hAnsi="Wingdings"/>
      </w:rPr>
    </w:lvl>
    <w:lvl w:ilvl="3">
      <w:start w:val="1"/>
      <w:numFmt w:val="bullet"/>
      <w:lvlText w:val=""/>
      <w:lvlJc w:val="left"/>
      <w:pPr>
        <w:tabs>
          <w:tab w:val="num" w:pos="2808"/>
        </w:tabs>
        <w:ind w:left="2808" w:hanging="360"/>
      </w:pPr>
      <w:rPr>
        <w:rFonts w:ascii="Symbol" w:hAnsi="Symbol"/>
      </w:rPr>
    </w:lvl>
    <w:lvl w:ilvl="4">
      <w:start w:val="1"/>
      <w:numFmt w:val="bullet"/>
      <w:lvlText w:val="o"/>
      <w:lvlJc w:val="left"/>
      <w:pPr>
        <w:tabs>
          <w:tab w:val="num" w:pos="3528"/>
        </w:tabs>
        <w:ind w:left="3528" w:hanging="360"/>
      </w:pPr>
      <w:rPr>
        <w:rFonts w:ascii="Courier New" w:hAnsi="Courier New"/>
      </w:rPr>
    </w:lvl>
    <w:lvl w:ilvl="5">
      <w:start w:val="1"/>
      <w:numFmt w:val="bullet"/>
      <w:lvlText w:val=""/>
      <w:lvlJc w:val="left"/>
      <w:pPr>
        <w:tabs>
          <w:tab w:val="num" w:pos="4248"/>
        </w:tabs>
        <w:ind w:left="4248" w:hanging="360"/>
      </w:pPr>
      <w:rPr>
        <w:rFonts w:ascii="Wingdings" w:hAnsi="Wingdings"/>
      </w:rPr>
    </w:lvl>
    <w:lvl w:ilvl="6">
      <w:start w:val="1"/>
      <w:numFmt w:val="bullet"/>
      <w:lvlText w:val=""/>
      <w:lvlJc w:val="left"/>
      <w:pPr>
        <w:tabs>
          <w:tab w:val="num" w:pos="4968"/>
        </w:tabs>
        <w:ind w:left="4968" w:hanging="360"/>
      </w:pPr>
      <w:rPr>
        <w:rFonts w:ascii="Symbol" w:hAnsi="Symbol"/>
      </w:rPr>
    </w:lvl>
    <w:lvl w:ilvl="7">
      <w:start w:val="1"/>
      <w:numFmt w:val="bullet"/>
      <w:lvlText w:val="o"/>
      <w:lvlJc w:val="left"/>
      <w:pPr>
        <w:tabs>
          <w:tab w:val="num" w:pos="5688"/>
        </w:tabs>
        <w:ind w:left="5688" w:hanging="360"/>
      </w:pPr>
      <w:rPr>
        <w:rFonts w:ascii="Courier New" w:hAnsi="Courier New"/>
      </w:rPr>
    </w:lvl>
    <w:lvl w:ilvl="8">
      <w:start w:val="1"/>
      <w:numFmt w:val="bullet"/>
      <w:lvlText w:val=""/>
      <w:lvlJc w:val="left"/>
      <w:pPr>
        <w:tabs>
          <w:tab w:val="num" w:pos="6408"/>
        </w:tabs>
        <w:ind w:left="6408" w:hanging="360"/>
      </w:pPr>
      <w:rPr>
        <w:rFonts w:ascii="Wingdings" w:hAnsi="Wingdings"/>
      </w:rPr>
    </w:lvl>
  </w:abstractNum>
  <w:abstractNum w:abstractNumId="1">
    <w:nsid w:val="00000003"/>
    <w:multiLevelType w:val="multilevel"/>
    <w:tmpl w:val="00000003"/>
    <w:name w:val="WW8Num3"/>
    <w:lvl w:ilvl="0">
      <w:start w:val="1"/>
      <w:numFmt w:val="decimal"/>
      <w:lvlText w:val="%1."/>
      <w:lvlJc w:val="left"/>
      <w:pPr>
        <w:tabs>
          <w:tab w:val="num" w:pos="360"/>
        </w:tabs>
        <w:ind w:left="360" w:hanging="360"/>
      </w:pPr>
      <w:rPr>
        <w:sz w:val="20"/>
        <w:szCs w:val="20"/>
      </w:rPr>
    </w:lvl>
    <w:lvl w:ilvl="1">
      <w:start w:val="1"/>
      <w:numFmt w:val="decimal"/>
      <w:lvlText w:val="%1.%2."/>
      <w:lvlJc w:val="left"/>
      <w:pPr>
        <w:tabs>
          <w:tab w:val="num" w:pos="605"/>
        </w:tabs>
        <w:ind w:left="605" w:hanging="605"/>
      </w:pPr>
      <w:rPr>
        <w:sz w:val="20"/>
        <w:szCs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0000004"/>
    <w:multiLevelType w:val="singleLevel"/>
    <w:tmpl w:val="00000004"/>
    <w:name w:val="WW8Num4"/>
    <w:lvl w:ilvl="0">
      <w:start w:val="1"/>
      <w:numFmt w:val="decimal"/>
      <w:lvlText w:val="[%1]"/>
      <w:lvlJc w:val="left"/>
      <w:pPr>
        <w:tabs>
          <w:tab w:val="num" w:pos="360"/>
        </w:tabs>
        <w:ind w:left="360" w:hanging="360"/>
      </w:pPr>
      <w:rPr>
        <w:sz w:val="20"/>
        <w:szCs w:val="20"/>
      </w:rPr>
    </w:lvl>
  </w:abstractNum>
  <w:abstractNum w:abstractNumId="3">
    <w:nsid w:val="41B342D4"/>
    <w:multiLevelType w:val="multilevel"/>
    <w:tmpl w:val="F83469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08"/>
  <w:hyphenationZone w:val="425"/>
  <w:characterSpacingControl w:val="doNotCompress"/>
  <w:hdrShapeDefaults>
    <o:shapedefaults v:ext="edit" spidmax="6146"/>
  </w:hdrShapeDefaults>
  <w:footnotePr>
    <w:footnote w:id="0"/>
    <w:footnote w:id="1"/>
  </w:footnotePr>
  <w:endnotePr>
    <w:endnote w:id="0"/>
    <w:endnote w:id="1"/>
  </w:endnotePr>
  <w:compat/>
  <w:rsids>
    <w:rsidRoot w:val="009354EE"/>
    <w:rsid w:val="00031C85"/>
    <w:rsid w:val="00097565"/>
    <w:rsid w:val="000D3D06"/>
    <w:rsid w:val="00124F52"/>
    <w:rsid w:val="001367F8"/>
    <w:rsid w:val="00226AE2"/>
    <w:rsid w:val="00792CFE"/>
    <w:rsid w:val="007B01DC"/>
    <w:rsid w:val="008423E3"/>
    <w:rsid w:val="00887BEC"/>
    <w:rsid w:val="009354EE"/>
    <w:rsid w:val="0093762D"/>
    <w:rsid w:val="00994701"/>
    <w:rsid w:val="00B05C27"/>
    <w:rsid w:val="00BD3900"/>
    <w:rsid w:val="00C96028"/>
    <w:rsid w:val="00CA2504"/>
    <w:rsid w:val="00CB430B"/>
    <w:rsid w:val="00DD02F2"/>
    <w:rsid w:val="00E226F8"/>
    <w:rsid w:val="00F803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00"/>
  </w:style>
  <w:style w:type="paragraph" w:styleId="Heading1">
    <w:name w:val="heading 1"/>
    <w:basedOn w:val="Normal"/>
    <w:next w:val="Normal"/>
    <w:link w:val="Heading1Char"/>
    <w:uiPriority w:val="9"/>
    <w:qFormat/>
    <w:rsid w:val="009354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9354EE"/>
    <w:rPr>
      <w:i/>
      <w:iCs/>
    </w:rPr>
  </w:style>
  <w:style w:type="character" w:styleId="Hyperlink">
    <w:name w:val="Hyperlink"/>
    <w:basedOn w:val="DefaultParagraphFont"/>
    <w:rsid w:val="009354EE"/>
    <w:rPr>
      <w:color w:val="0000FF"/>
      <w:u w:val="single"/>
    </w:rPr>
  </w:style>
  <w:style w:type="character" w:customStyle="1" w:styleId="FootnoteCharacters">
    <w:name w:val="Footnote Characters"/>
    <w:basedOn w:val="DefaultParagraphFont"/>
    <w:rsid w:val="009354EE"/>
    <w:rPr>
      <w:vertAlign w:val="superscript"/>
    </w:rPr>
  </w:style>
  <w:style w:type="character" w:customStyle="1" w:styleId="abstractheadChar">
    <w:name w:val="abstract head Char"/>
    <w:basedOn w:val="DefaultParagraphFont"/>
    <w:rsid w:val="009354EE"/>
  </w:style>
  <w:style w:type="character" w:customStyle="1" w:styleId="keywordheadChar">
    <w:name w:val="keyword head Char"/>
    <w:basedOn w:val="DefaultParagraphFont"/>
    <w:rsid w:val="009354EE"/>
    <w:rPr>
      <w:rFonts w:eastAsia="MS Mincho"/>
      <w:b/>
      <w:bCs/>
      <w:sz w:val="24"/>
      <w:lang w:val="en-GB" w:eastAsia="ar-SA" w:bidi="ar-SA"/>
    </w:rPr>
  </w:style>
  <w:style w:type="paragraph" w:styleId="BodyText">
    <w:name w:val="Body Text"/>
    <w:basedOn w:val="Normal"/>
    <w:link w:val="BodyTextChar"/>
    <w:rsid w:val="009354EE"/>
    <w:pPr>
      <w:suppressAutoHyphens/>
      <w:spacing w:after="60" w:line="280" w:lineRule="exact"/>
      <w:ind w:firstLine="357"/>
      <w:jc w:val="both"/>
    </w:pPr>
    <w:rPr>
      <w:rFonts w:ascii="Times New Roman" w:eastAsia="SimSun" w:hAnsi="Times New Roman" w:cs="Times New Roman"/>
      <w:szCs w:val="20"/>
      <w:lang w:val="en-GB" w:eastAsia="ar-SA"/>
    </w:rPr>
  </w:style>
  <w:style w:type="character" w:customStyle="1" w:styleId="BodyTextChar">
    <w:name w:val="Body Text Char"/>
    <w:basedOn w:val="DefaultParagraphFont"/>
    <w:link w:val="BodyText"/>
    <w:rsid w:val="009354EE"/>
    <w:rPr>
      <w:rFonts w:ascii="Times New Roman" w:eastAsia="SimSun" w:hAnsi="Times New Roman" w:cs="Times New Roman"/>
      <w:szCs w:val="20"/>
      <w:lang w:val="en-GB" w:eastAsia="ar-SA"/>
    </w:rPr>
  </w:style>
  <w:style w:type="paragraph" w:customStyle="1" w:styleId="TitleofPaper">
    <w:name w:val="Title of Paper"/>
    <w:basedOn w:val="Normal"/>
    <w:rsid w:val="009354EE"/>
    <w:pPr>
      <w:suppressAutoHyphens/>
      <w:spacing w:before="480" w:after="360"/>
      <w:jc w:val="center"/>
    </w:pPr>
    <w:rPr>
      <w:rFonts w:ascii="Times New Roman" w:eastAsia="MS Mincho" w:hAnsi="Times New Roman" w:cs="Times New Roman"/>
      <w:b/>
      <w:bCs/>
      <w:sz w:val="32"/>
      <w:szCs w:val="40"/>
      <w:lang w:val="en-US" w:eastAsia="ar-SA"/>
    </w:rPr>
  </w:style>
  <w:style w:type="paragraph" w:customStyle="1" w:styleId="Author">
    <w:name w:val="Author"/>
    <w:basedOn w:val="Normal"/>
    <w:rsid w:val="009354EE"/>
    <w:pPr>
      <w:tabs>
        <w:tab w:val="left" w:pos="1800"/>
        <w:tab w:val="left" w:pos="3510"/>
      </w:tabs>
      <w:suppressAutoHyphens/>
      <w:spacing w:line="360" w:lineRule="auto"/>
      <w:jc w:val="center"/>
    </w:pPr>
    <w:rPr>
      <w:rFonts w:ascii="Times New Roman" w:eastAsia="MS Mincho" w:hAnsi="Times New Roman" w:cs="Times New Roman"/>
      <w:sz w:val="24"/>
      <w:lang w:val="en-US" w:eastAsia="ar-SA"/>
    </w:rPr>
  </w:style>
  <w:style w:type="paragraph" w:customStyle="1" w:styleId="Affiliation">
    <w:name w:val="Affiliation"/>
    <w:basedOn w:val="Normal"/>
    <w:rsid w:val="009354EE"/>
    <w:pPr>
      <w:suppressAutoHyphens/>
      <w:spacing w:after="60"/>
      <w:jc w:val="center"/>
    </w:pPr>
    <w:rPr>
      <w:rFonts w:ascii="Times New Roman" w:eastAsia="PMingLiU" w:hAnsi="Times New Roman" w:cs="Times New Roman"/>
      <w:szCs w:val="20"/>
      <w:lang w:val="en-US" w:eastAsia="ar-SA"/>
    </w:rPr>
  </w:style>
  <w:style w:type="paragraph" w:customStyle="1" w:styleId="Header1">
    <w:name w:val="Header 1"/>
    <w:basedOn w:val="Normal"/>
    <w:rsid w:val="009354EE"/>
    <w:pPr>
      <w:tabs>
        <w:tab w:val="num" w:pos="360"/>
      </w:tabs>
      <w:suppressAutoHyphens/>
      <w:spacing w:before="240" w:after="120" w:line="240" w:lineRule="exact"/>
      <w:ind w:left="357" w:hanging="357"/>
    </w:pPr>
    <w:rPr>
      <w:rFonts w:ascii="Times New Roman" w:eastAsia="SimSun" w:hAnsi="Times New Roman" w:cs="Times New Roman"/>
      <w:b/>
      <w:bCs/>
      <w:sz w:val="28"/>
      <w:szCs w:val="28"/>
      <w:lang w:val="en-US" w:eastAsia="ar-SA"/>
    </w:rPr>
  </w:style>
  <w:style w:type="paragraph" w:customStyle="1" w:styleId="Affiliation2">
    <w:name w:val="Affiliation 2"/>
    <w:basedOn w:val="Heading1"/>
    <w:rsid w:val="009354EE"/>
    <w:pPr>
      <w:keepLines w:val="0"/>
      <w:suppressAutoHyphens/>
      <w:spacing w:before="0" w:after="240"/>
      <w:jc w:val="center"/>
    </w:pPr>
    <w:rPr>
      <w:rFonts w:ascii="Times New Roman" w:eastAsia="SimSun" w:hAnsi="Times New Roman" w:cs="Times New Roman"/>
      <w:b w:val="0"/>
      <w:bCs w:val="0"/>
      <w:color w:val="auto"/>
      <w:kern w:val="1"/>
      <w:sz w:val="22"/>
      <w:szCs w:val="20"/>
      <w:lang w:val="en-US" w:eastAsia="ar-SA"/>
    </w:rPr>
  </w:style>
  <w:style w:type="paragraph" w:customStyle="1" w:styleId="Header2">
    <w:name w:val="Header 2"/>
    <w:basedOn w:val="Header1"/>
    <w:rsid w:val="009354EE"/>
    <w:pPr>
      <w:spacing w:after="0"/>
      <w:ind w:left="607" w:hanging="607"/>
    </w:pPr>
    <w:rPr>
      <w:sz w:val="24"/>
    </w:rPr>
  </w:style>
  <w:style w:type="paragraph" w:customStyle="1" w:styleId="bullet">
    <w:name w:val="bullet"/>
    <w:basedOn w:val="Normal"/>
    <w:rsid w:val="009354EE"/>
    <w:pPr>
      <w:tabs>
        <w:tab w:val="num" w:pos="360"/>
      </w:tabs>
      <w:suppressAutoHyphens/>
      <w:spacing w:after="5" w:line="280" w:lineRule="exact"/>
      <w:ind w:left="646" w:hanging="220"/>
      <w:jc w:val="both"/>
    </w:pPr>
    <w:rPr>
      <w:rFonts w:ascii="Times New Roman" w:eastAsia="SimSun" w:hAnsi="Times New Roman" w:cs="Times New Roman"/>
      <w:szCs w:val="20"/>
      <w:lang w:val="en-US" w:eastAsia="ar-SA"/>
    </w:rPr>
  </w:style>
  <w:style w:type="paragraph" w:customStyle="1" w:styleId="abstract">
    <w:name w:val="abstract"/>
    <w:basedOn w:val="Normal"/>
    <w:rsid w:val="009354EE"/>
    <w:pPr>
      <w:suppressAutoHyphens/>
      <w:ind w:left="425" w:right="425"/>
      <w:jc w:val="both"/>
    </w:pPr>
    <w:rPr>
      <w:rFonts w:ascii="Times New Roman" w:eastAsia="SimSun" w:hAnsi="Times New Roman" w:cs="Times New Roman"/>
      <w:sz w:val="20"/>
      <w:szCs w:val="20"/>
      <w:lang w:val="en-US" w:eastAsia="ar-SA"/>
    </w:rPr>
  </w:style>
  <w:style w:type="paragraph" w:styleId="FootnoteText">
    <w:name w:val="footnote text"/>
    <w:basedOn w:val="Normal"/>
    <w:link w:val="FootnoteTextChar"/>
    <w:rsid w:val="009354EE"/>
    <w:pPr>
      <w:suppressAutoHyphens/>
      <w:snapToGrid w:val="0"/>
    </w:pPr>
    <w:rPr>
      <w:rFonts w:ascii="Times New Roman" w:eastAsia="SimSun" w:hAnsi="Times New Roman" w:cs="Times New Roman"/>
      <w:sz w:val="18"/>
      <w:szCs w:val="18"/>
      <w:lang w:val="en-US" w:eastAsia="ar-SA"/>
    </w:rPr>
  </w:style>
  <w:style w:type="character" w:customStyle="1" w:styleId="FootnoteTextChar">
    <w:name w:val="Footnote Text Char"/>
    <w:basedOn w:val="DefaultParagraphFont"/>
    <w:link w:val="FootnoteText"/>
    <w:rsid w:val="009354EE"/>
    <w:rPr>
      <w:rFonts w:ascii="Times New Roman" w:eastAsia="SimSun" w:hAnsi="Times New Roman" w:cs="Times New Roman"/>
      <w:sz w:val="18"/>
      <w:szCs w:val="18"/>
      <w:lang w:val="en-US" w:eastAsia="ar-SA"/>
    </w:rPr>
  </w:style>
  <w:style w:type="paragraph" w:customStyle="1" w:styleId="keywords">
    <w:name w:val="keywords"/>
    <w:basedOn w:val="Normal"/>
    <w:rsid w:val="009354EE"/>
    <w:pPr>
      <w:suppressAutoHyphens/>
      <w:spacing w:before="120" w:after="120" w:line="280" w:lineRule="exact"/>
      <w:ind w:left="425" w:right="431"/>
      <w:jc w:val="both"/>
    </w:pPr>
    <w:rPr>
      <w:rFonts w:ascii="Times New Roman" w:eastAsia="MS Mincho" w:hAnsi="Times New Roman" w:cs="Times New Roman"/>
      <w:sz w:val="20"/>
      <w:szCs w:val="20"/>
      <w:lang w:val="en-GB" w:eastAsia="ar-SA"/>
    </w:rPr>
  </w:style>
  <w:style w:type="character" w:customStyle="1" w:styleId="Heading1Char">
    <w:name w:val="Heading 1 Char"/>
    <w:basedOn w:val="DefaultParagraphFont"/>
    <w:link w:val="Heading1"/>
    <w:uiPriority w:val="9"/>
    <w:rsid w:val="009354EE"/>
    <w:rPr>
      <w:rFonts w:asciiTheme="majorHAnsi" w:eastAsiaTheme="majorEastAsia" w:hAnsiTheme="majorHAnsi" w:cstheme="majorBidi"/>
      <w:b/>
      <w:bCs/>
      <w:color w:val="365F91" w:themeColor="accent1" w:themeShade="BF"/>
      <w:sz w:val="28"/>
      <w:szCs w:val="28"/>
    </w:rPr>
  </w:style>
  <w:style w:type="paragraph" w:customStyle="1" w:styleId="Figure">
    <w:name w:val="Figure"/>
    <w:basedOn w:val="Normal"/>
    <w:rsid w:val="009354EE"/>
    <w:pPr>
      <w:widowControl w:val="0"/>
      <w:suppressAutoHyphens/>
      <w:spacing w:before="120" w:after="240" w:line="280" w:lineRule="exact"/>
      <w:jc w:val="center"/>
    </w:pPr>
    <w:rPr>
      <w:rFonts w:ascii="Times New Roman" w:eastAsia="MS Mincho" w:hAnsi="Times New Roman" w:cs="Times New Roman"/>
      <w:sz w:val="20"/>
      <w:szCs w:val="18"/>
      <w:lang w:val="en-GB" w:eastAsia="ar-SA"/>
    </w:rPr>
  </w:style>
  <w:style w:type="paragraph" w:customStyle="1" w:styleId="References">
    <w:name w:val="References"/>
    <w:basedOn w:val="Normal"/>
    <w:rsid w:val="009354EE"/>
    <w:pPr>
      <w:tabs>
        <w:tab w:val="left" w:pos="426"/>
        <w:tab w:val="num" w:pos="720"/>
      </w:tabs>
      <w:suppressAutoHyphens/>
      <w:spacing w:after="60" w:line="280" w:lineRule="exact"/>
      <w:ind w:left="425" w:hanging="425"/>
    </w:pPr>
    <w:rPr>
      <w:rFonts w:ascii="Times New Roman" w:eastAsia="SimSun" w:hAnsi="Times New Roman" w:cs="Times New Roman"/>
      <w:sz w:val="20"/>
      <w:szCs w:val="20"/>
      <w:lang w:val="en-US" w:eastAsia="ar-SA"/>
    </w:rPr>
  </w:style>
  <w:style w:type="paragraph" w:styleId="BalloonText">
    <w:name w:val="Balloon Text"/>
    <w:basedOn w:val="Normal"/>
    <w:link w:val="BalloonTextChar"/>
    <w:uiPriority w:val="99"/>
    <w:semiHidden/>
    <w:unhideWhenUsed/>
    <w:rsid w:val="009354EE"/>
    <w:rPr>
      <w:rFonts w:ascii="Tahoma" w:hAnsi="Tahoma" w:cs="Tahoma"/>
      <w:sz w:val="16"/>
      <w:szCs w:val="16"/>
    </w:rPr>
  </w:style>
  <w:style w:type="character" w:customStyle="1" w:styleId="BalloonTextChar">
    <w:name w:val="Balloon Text Char"/>
    <w:basedOn w:val="DefaultParagraphFont"/>
    <w:link w:val="BalloonText"/>
    <w:uiPriority w:val="99"/>
    <w:semiHidden/>
    <w:rsid w:val="009354EE"/>
    <w:rPr>
      <w:rFonts w:ascii="Tahoma" w:hAnsi="Tahoma" w:cs="Tahoma"/>
      <w:sz w:val="16"/>
      <w:szCs w:val="16"/>
    </w:rPr>
  </w:style>
  <w:style w:type="paragraph" w:styleId="Header">
    <w:name w:val="header"/>
    <w:basedOn w:val="Normal"/>
    <w:link w:val="HeaderChar"/>
    <w:uiPriority w:val="99"/>
    <w:unhideWhenUsed/>
    <w:rsid w:val="00B05C27"/>
    <w:pPr>
      <w:tabs>
        <w:tab w:val="center" w:pos="4536"/>
        <w:tab w:val="right" w:pos="9072"/>
      </w:tabs>
    </w:pPr>
  </w:style>
  <w:style w:type="character" w:customStyle="1" w:styleId="HeaderChar">
    <w:name w:val="Header Char"/>
    <w:basedOn w:val="DefaultParagraphFont"/>
    <w:link w:val="Header"/>
    <w:uiPriority w:val="99"/>
    <w:rsid w:val="00B05C27"/>
  </w:style>
  <w:style w:type="paragraph" w:styleId="Footer">
    <w:name w:val="footer"/>
    <w:basedOn w:val="Normal"/>
    <w:link w:val="FooterChar"/>
    <w:uiPriority w:val="99"/>
    <w:semiHidden/>
    <w:unhideWhenUsed/>
    <w:rsid w:val="00B05C27"/>
    <w:pPr>
      <w:tabs>
        <w:tab w:val="center" w:pos="4536"/>
        <w:tab w:val="right" w:pos="9072"/>
      </w:tabs>
    </w:pPr>
  </w:style>
  <w:style w:type="character" w:customStyle="1" w:styleId="FooterChar">
    <w:name w:val="Footer Char"/>
    <w:basedOn w:val="DefaultParagraphFont"/>
    <w:link w:val="Footer"/>
    <w:uiPriority w:val="99"/>
    <w:semiHidden/>
    <w:rsid w:val="00B05C27"/>
  </w:style>
  <w:style w:type="paragraph" w:customStyle="1" w:styleId="PreformattedText">
    <w:name w:val="Preformatted Text"/>
    <w:basedOn w:val="Normal"/>
    <w:rsid w:val="001367F8"/>
    <w:pPr>
      <w:widowControl w:val="0"/>
      <w:suppressAutoHyphens/>
    </w:pPr>
    <w:rPr>
      <w:rFonts w:ascii="Courier New" w:eastAsia="NSimSun" w:hAnsi="Courier New" w:cs="Courier New"/>
      <w:sz w:val="20"/>
      <w:szCs w:val="20"/>
      <w:lang w:val="hu-HU" w:eastAsia="hi-IN" w:bidi="hi-IN"/>
    </w:rPr>
  </w:style>
  <w:style w:type="character" w:styleId="FootnoteReference">
    <w:name w:val="footnote reference"/>
    <w:rsid w:val="001367F8"/>
    <w:rPr>
      <w:vertAlign w:val="superscript"/>
    </w:rPr>
  </w:style>
</w:styles>
</file>

<file path=word/webSettings.xml><?xml version="1.0" encoding="utf-8"?>
<w:webSettings xmlns:r="http://schemas.openxmlformats.org/officeDocument/2006/relationships" xmlns:w="http://schemas.openxmlformats.org/wordprocessingml/2006/main">
  <w:divs>
    <w:div w:id="113510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3857</Words>
  <Characters>21991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dc:creator>
  <cp:keywords/>
  <dc:description/>
  <cp:lastModifiedBy>Dana Chifu</cp:lastModifiedBy>
  <cp:revision>4</cp:revision>
  <dcterms:created xsi:type="dcterms:W3CDTF">2013-05-20T07:35:00Z</dcterms:created>
  <dcterms:modified xsi:type="dcterms:W3CDTF">2013-05-20T07:36:00Z</dcterms:modified>
</cp:coreProperties>
</file>